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0BE" w:rsidRPr="0096216D" w:rsidRDefault="00C04930">
      <w:pPr>
        <w:rPr>
          <w:rFonts w:ascii="Arial" w:hAnsi="Arial" w:cs="Arial"/>
          <w:sz w:val="28"/>
        </w:rPr>
      </w:pPr>
      <w:bookmarkStart w:id="0" w:name="_GoBack"/>
      <w:bookmarkEnd w:id="0"/>
      <w:r>
        <w:rPr>
          <w:rFonts w:ascii="Arial" w:hAnsi="Arial" w:cs="Arial"/>
          <w:sz w:val="28"/>
        </w:rPr>
        <w:t>Eradication</w:t>
      </w:r>
      <w:r w:rsidR="000737E0" w:rsidRPr="0096216D">
        <w:rPr>
          <w:rFonts w:ascii="Arial" w:hAnsi="Arial" w:cs="Arial"/>
          <w:sz w:val="28"/>
        </w:rPr>
        <w:t xml:space="preserve"> of </w:t>
      </w:r>
      <w:r w:rsidR="0096216D" w:rsidRPr="0096216D">
        <w:rPr>
          <w:rFonts w:ascii="Arial" w:hAnsi="Arial" w:cs="Arial"/>
          <w:sz w:val="28"/>
        </w:rPr>
        <w:t xml:space="preserve">Coral </w:t>
      </w:r>
      <w:r w:rsidR="000737E0" w:rsidRPr="0096216D">
        <w:rPr>
          <w:rFonts w:ascii="Arial" w:hAnsi="Arial" w:cs="Arial"/>
          <w:sz w:val="28"/>
        </w:rPr>
        <w:t>Ardisia</w:t>
      </w:r>
      <w:r w:rsidR="0096216D" w:rsidRPr="0096216D">
        <w:rPr>
          <w:rFonts w:ascii="Arial" w:hAnsi="Arial" w:cs="Arial"/>
          <w:sz w:val="28"/>
        </w:rPr>
        <w:t xml:space="preserve"> (</w:t>
      </w:r>
      <w:r w:rsidR="0096216D" w:rsidRPr="0096216D">
        <w:rPr>
          <w:rFonts w:ascii="Arial" w:hAnsi="Arial" w:cs="Arial"/>
          <w:i/>
          <w:sz w:val="28"/>
        </w:rPr>
        <w:t>Ardisia crenata</w:t>
      </w:r>
      <w:r w:rsidR="0096216D" w:rsidRPr="0096216D">
        <w:rPr>
          <w:rFonts w:ascii="Arial" w:hAnsi="Arial" w:cs="Arial"/>
          <w:sz w:val="28"/>
        </w:rPr>
        <w:t>) in NATL</w:t>
      </w:r>
    </w:p>
    <w:p w:rsidR="004A6B88" w:rsidRDefault="005D326C" w:rsidP="004A6B88">
      <w:pPr>
        <w:spacing w:after="120"/>
        <w:rPr>
          <w:sz w:val="20"/>
        </w:rPr>
      </w:pPr>
      <w:r>
        <w:t>T. J. Walker</w:t>
      </w:r>
      <w:r w:rsidR="000D5DCE">
        <w:t xml:space="preserve">, </w:t>
      </w:r>
      <w:r w:rsidR="00534F73">
        <w:t>April</w:t>
      </w:r>
      <w:r w:rsidR="00C93ECD">
        <w:t xml:space="preserve"> 201</w:t>
      </w:r>
      <w:r w:rsidR="00534F73">
        <w:t>2</w:t>
      </w:r>
      <w:r w:rsidR="00413445">
        <w:br/>
      </w:r>
      <w:r w:rsidR="00413445" w:rsidRPr="00413445">
        <w:rPr>
          <w:sz w:val="20"/>
        </w:rPr>
        <w:t xml:space="preserve">This report, or an updated version of it, with live links, is at </w:t>
      </w:r>
      <w:hyperlink r:id="rId7" w:history="1">
        <w:r w:rsidR="004A6B88" w:rsidRPr="00ED795B">
          <w:rPr>
            <w:rStyle w:val="Hyperlink"/>
            <w:sz w:val="20"/>
          </w:rPr>
          <w:t>http://natl.ifas.ufl.edu/ardisiaplan.pdf</w:t>
        </w:r>
      </w:hyperlink>
      <w:r w:rsidR="00413445">
        <w:rPr>
          <w:sz w:val="20"/>
        </w:rPr>
        <w:t>.</w:t>
      </w:r>
    </w:p>
    <w:p w:rsidR="00C04930" w:rsidRPr="00534F73" w:rsidRDefault="00534F73" w:rsidP="004A6B88">
      <w:pPr>
        <w:spacing w:after="120"/>
        <w:rPr>
          <w:rFonts w:ascii="Arial" w:hAnsi="Arial" w:cs="Arial"/>
        </w:rPr>
      </w:pPr>
      <w:r w:rsidRPr="00534F73">
        <w:rPr>
          <w:rFonts w:ascii="Arial" w:hAnsi="Arial" w:cs="Arial"/>
        </w:rPr>
        <w:t>Executive summary</w:t>
      </w:r>
    </w:p>
    <w:p w:rsidR="00B83531" w:rsidRDefault="00534F73" w:rsidP="00534F73">
      <w:pPr>
        <w:spacing w:after="120"/>
      </w:pPr>
      <w:r>
        <w:t>Coral Ardisia is an understory shrub that is a major threat to the hardwood hammocks of north Florida.  Once established, it rapidly s</w:t>
      </w:r>
      <w:r w:rsidR="00B83531">
        <w:t>p</w:t>
      </w:r>
      <w:r>
        <w:t xml:space="preserve">reads and produces stands so dense that it dominates the understory.  The species is native in </w:t>
      </w:r>
      <w:r w:rsidR="00B83531">
        <w:t>India and Japan</w:t>
      </w:r>
      <w:r>
        <w:t xml:space="preserve"> but was introduced to the southeast U.S. as an ornamental shrub </w:t>
      </w:r>
      <w:r w:rsidR="00B83531">
        <w:t xml:space="preserve">for its </w:t>
      </w:r>
      <w:r>
        <w:t xml:space="preserve">glossy green foliage and bright-red, persistent berries.  When NATL was established in 1994, portions of its hammock were already heavily infested.  A concerted effort to eradicate Coral Ardisia from NATL was begun in 2010, and by March 2012, berry production </w:t>
      </w:r>
      <w:r w:rsidR="00B83531">
        <w:t xml:space="preserve">by Coral Ardisia </w:t>
      </w:r>
      <w:r>
        <w:t xml:space="preserve">in NATL had almost ceased.  Because the species produces no seeds that can survive at typical field temperatures beyond a few months and because the persistent red berries make mature plants easy to find, only minor resources should </w:t>
      </w:r>
      <w:r w:rsidR="00B83531">
        <w:t>be required to keep NATL free or</w:t>
      </w:r>
      <w:r>
        <w:t xml:space="preserve"> nearly free of Coral Ardisia in the future</w:t>
      </w:r>
      <w:r w:rsidR="00B83531">
        <w:t>.</w:t>
      </w:r>
    </w:p>
    <w:p w:rsidR="00B83531" w:rsidRDefault="004D70BA" w:rsidP="00534F73">
      <w:pPr>
        <w:spacing w:after="120"/>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3395345</wp:posOffset>
                </wp:positionH>
                <wp:positionV relativeFrom="paragraph">
                  <wp:posOffset>15875</wp:posOffset>
                </wp:positionV>
                <wp:extent cx="0" cy="2766695"/>
                <wp:effectExtent l="0" t="0" r="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03953" id="_x0000_t32" coordsize="21600,21600" o:spt="32" o:oned="t" path="m,l21600,21600e" filled="f">
                <v:path arrowok="t" fillok="f" o:connecttype="none"/>
                <o:lock v:ext="edit" shapetype="t"/>
              </v:shapetype>
              <v:shape id="AutoShape 2" o:spid="_x0000_s1026" type="#_x0000_t32" style="position:absolute;margin-left:267.35pt;margin-top:1.25pt;width:0;height:2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">
                <o:lock v:ext="edit" shapetype="f"/>
              </v:shape>
            </w:pict>
          </mc:Fallback>
        </mc:AlternateContent>
      </w:r>
      <w:r>
        <w:rPr>
          <w:rFonts w:ascii="Arial" w:hAnsi="Arial" w:cs="Arial"/>
          <w:noProof/>
        </w:rPr>
        <w:drawing>
          <wp:inline distT="0" distB="0" distL="0" distR="0">
            <wp:extent cx="5930265" cy="2779395"/>
            <wp:effectExtent l="12700" t="12700" r="635"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265" cy="2779395"/>
                    </a:xfrm>
                    <a:prstGeom prst="rect">
                      <a:avLst/>
                    </a:prstGeom>
                    <a:noFill/>
                    <a:ln w="6350" cmpd="sng">
                      <a:solidFill>
                        <a:srgbClr val="000000"/>
                      </a:solidFill>
                      <a:miter lim="800000"/>
                      <a:headEnd/>
                      <a:tailEnd/>
                    </a:ln>
                    <a:effectLst/>
                  </pic:spPr>
                </pic:pic>
              </a:graphicData>
            </a:graphic>
          </wp:inline>
        </w:drawing>
      </w:r>
    </w:p>
    <w:p w:rsidR="00644B54" w:rsidRDefault="00C53C19" w:rsidP="00DD0A01">
      <w:pPr>
        <w:spacing w:after="360"/>
        <w:rPr>
          <w:rFonts w:ascii="Calibri" w:hAnsi="Calibri"/>
          <w:sz w:val="18"/>
        </w:rPr>
      </w:pPr>
      <w:r w:rsidRPr="00C53C19">
        <w:rPr>
          <w:rFonts w:ascii="Calibri" w:hAnsi="Calibri"/>
          <w:sz w:val="18"/>
        </w:rPr>
        <w:t>Fig. 1</w:t>
      </w:r>
      <w:r w:rsidR="00457376">
        <w:rPr>
          <w:rFonts w:ascii="Calibri" w:hAnsi="Calibri"/>
          <w:sz w:val="18"/>
        </w:rPr>
        <w:t xml:space="preserve">. </w:t>
      </w:r>
      <w:r>
        <w:rPr>
          <w:rFonts w:ascii="Calibri" w:hAnsi="Calibri"/>
          <w:sz w:val="18"/>
        </w:rPr>
        <w:t xml:space="preserve"> Map</w:t>
      </w:r>
      <w:r w:rsidR="00457376">
        <w:rPr>
          <w:rFonts w:ascii="Calibri" w:hAnsi="Calibri"/>
          <w:sz w:val="18"/>
        </w:rPr>
        <w:t>s</w:t>
      </w:r>
      <w:r>
        <w:rPr>
          <w:rFonts w:ascii="Calibri" w:hAnsi="Calibri"/>
          <w:sz w:val="18"/>
        </w:rPr>
        <w:t xml:space="preserve"> showing NATL’s 50x50m grid system. </w:t>
      </w:r>
      <w:r w:rsidR="00457376">
        <w:rPr>
          <w:rFonts w:ascii="Calibri" w:hAnsi="Calibri"/>
          <w:sz w:val="18"/>
        </w:rPr>
        <w:t xml:space="preserve"> A.</w:t>
      </w:r>
      <w:r>
        <w:rPr>
          <w:rFonts w:ascii="Calibri" w:hAnsi="Calibri"/>
          <w:sz w:val="18"/>
        </w:rPr>
        <w:t xml:space="preserve"> Areas monitored for Ardisia are within a solid red line</w:t>
      </w:r>
      <w:r w:rsidR="00644B54">
        <w:rPr>
          <w:rFonts w:ascii="Calibri" w:hAnsi="Calibri"/>
          <w:sz w:val="18"/>
        </w:rPr>
        <w:t xml:space="preserve"> and are divided into 57 “Ardisia reporting blocks.”  In Feb. 2010, 41 of these blocks were known to have one or more mature Coral Ardisia.  In both divisions of NATL, the infested blocks were contiguous and their limits are indicated by t</w:t>
      </w:r>
      <w:r w:rsidR="00457376">
        <w:rPr>
          <w:rFonts w:ascii="Calibri" w:hAnsi="Calibri"/>
          <w:sz w:val="18"/>
        </w:rPr>
        <w:t>wo</w:t>
      </w:r>
      <w:r w:rsidR="00644B54">
        <w:rPr>
          <w:rFonts w:ascii="Calibri" w:hAnsi="Calibri"/>
          <w:sz w:val="18"/>
        </w:rPr>
        <w:t xml:space="preserve"> cross-hatched areas</w:t>
      </w:r>
      <w:r w:rsidR="00457376">
        <w:rPr>
          <w:rFonts w:ascii="Calibri" w:hAnsi="Calibri"/>
          <w:sz w:val="18"/>
        </w:rPr>
        <w:t>—a large</w:t>
      </w:r>
      <w:r w:rsidR="00644B54">
        <w:rPr>
          <w:rFonts w:ascii="Calibri" w:hAnsi="Calibri"/>
          <w:sz w:val="18"/>
        </w:rPr>
        <w:t xml:space="preserve"> </w:t>
      </w:r>
      <w:r w:rsidR="00457376">
        <w:rPr>
          <w:rFonts w:ascii="Calibri" w:hAnsi="Calibri"/>
          <w:sz w:val="18"/>
        </w:rPr>
        <w:t xml:space="preserve">one </w:t>
      </w:r>
      <w:r w:rsidR="00644B54">
        <w:rPr>
          <w:rFonts w:ascii="Calibri" w:hAnsi="Calibri"/>
          <w:sz w:val="18"/>
        </w:rPr>
        <w:t xml:space="preserve">in NATL-west and a much smaller one in NATL-east.  B. </w:t>
      </w:r>
      <w:r w:rsidR="00457376">
        <w:rPr>
          <w:rFonts w:ascii="Calibri" w:hAnsi="Calibri"/>
          <w:sz w:val="18"/>
        </w:rPr>
        <w:t>Limits of m</w:t>
      </w:r>
      <w:r w:rsidR="00644B54">
        <w:rPr>
          <w:rFonts w:ascii="Calibri" w:hAnsi="Calibri"/>
          <w:sz w:val="18"/>
        </w:rPr>
        <w:t xml:space="preserve">onitored areas </w:t>
      </w:r>
      <w:r w:rsidR="00457376">
        <w:rPr>
          <w:rFonts w:ascii="Calibri" w:hAnsi="Calibri"/>
          <w:sz w:val="18"/>
        </w:rPr>
        <w:t xml:space="preserve">and infested area are </w:t>
      </w:r>
      <w:r w:rsidR="00644B54">
        <w:rPr>
          <w:rFonts w:ascii="Calibri" w:hAnsi="Calibri"/>
          <w:sz w:val="18"/>
        </w:rPr>
        <w:t>indicated as before. The five reporting blocks with mature Ardisia early in 2012</w:t>
      </w:r>
      <w:r w:rsidR="00457376">
        <w:rPr>
          <w:rFonts w:ascii="Calibri" w:hAnsi="Calibri"/>
          <w:sz w:val="18"/>
        </w:rPr>
        <w:t xml:space="preserve"> </w:t>
      </w:r>
      <w:r w:rsidR="00644B54">
        <w:rPr>
          <w:rFonts w:ascii="Calibri" w:hAnsi="Calibri"/>
          <w:sz w:val="18"/>
        </w:rPr>
        <w:t>each had on</w:t>
      </w:r>
      <w:r w:rsidR="00457376">
        <w:rPr>
          <w:rFonts w:ascii="Calibri" w:hAnsi="Calibri"/>
          <w:sz w:val="18"/>
        </w:rPr>
        <w:t>ly</w:t>
      </w:r>
      <w:r w:rsidR="00644B54">
        <w:rPr>
          <w:rFonts w:ascii="Calibri" w:hAnsi="Calibri"/>
          <w:sz w:val="18"/>
        </w:rPr>
        <w:t xml:space="preserve"> one berry-bearing plant.</w:t>
      </w:r>
    </w:p>
    <w:p w:rsidR="00FD2E1E" w:rsidRPr="00DD0A01" w:rsidRDefault="00FD2E1E" w:rsidP="00FD2E1E">
      <w:pPr>
        <w:spacing w:after="120"/>
        <w:rPr>
          <w:sz w:val="20"/>
        </w:rPr>
      </w:pPr>
      <w:r w:rsidRPr="00DD0A01">
        <w:rPr>
          <w:sz w:val="20"/>
        </w:rPr>
        <w:t xml:space="preserve">Table 1. Progress toward eradication of </w:t>
      </w:r>
      <w:r w:rsidRPr="00DD0A01">
        <w:rPr>
          <w:i/>
          <w:sz w:val="20"/>
        </w:rPr>
        <w:t>Ardisia crenata</w:t>
      </w:r>
      <w:r w:rsidRPr="00DD0A01">
        <w:rPr>
          <w:sz w:val="20"/>
        </w:rPr>
        <w:t xml:space="preserve"> from NATL hammocks:  Numbers of plants with red berries in mid or late winter.</w:t>
      </w:r>
      <w:r w:rsidR="000B64DE">
        <w:rPr>
          <w:sz w:val="20"/>
        </w:rPr>
        <w:t xml:space="preserve"> (This same table, </w:t>
      </w:r>
      <w:r w:rsidR="00DD0A01">
        <w:rPr>
          <w:sz w:val="20"/>
        </w:rPr>
        <w:t>with footnotes</w:t>
      </w:r>
      <w:r w:rsidR="000B64DE">
        <w:rPr>
          <w:sz w:val="20"/>
        </w:rPr>
        <w:t xml:space="preserve"> added</w:t>
      </w:r>
      <w:r w:rsidR="00DD0A01">
        <w:rPr>
          <w:sz w:val="20"/>
        </w:rPr>
        <w:t>, is repeated later in this report.)</w:t>
      </w:r>
    </w:p>
    <w:tbl>
      <w:tblPr>
        <w:tblW w:w="9648" w:type="dxa"/>
        <w:tblBorders>
          <w:top w:val="single" w:sz="8" w:space="0" w:color="000000"/>
          <w:bottom w:val="single" w:sz="8" w:space="0" w:color="000000"/>
        </w:tblBorders>
        <w:tblLayout w:type="fixed"/>
        <w:tblLook w:val="06A0" w:firstRow="1" w:lastRow="0" w:firstColumn="1" w:lastColumn="0" w:noHBand="1" w:noVBand="1"/>
      </w:tblPr>
      <w:tblGrid>
        <w:gridCol w:w="1728"/>
        <w:gridCol w:w="1320"/>
        <w:gridCol w:w="1320"/>
        <w:gridCol w:w="1320"/>
        <w:gridCol w:w="1320"/>
        <w:gridCol w:w="1320"/>
        <w:gridCol w:w="1320"/>
      </w:tblGrid>
      <w:tr w:rsidR="00FD2E1E" w:rsidRPr="00DD0A01" w:rsidTr="00FD2E1E">
        <w:tc>
          <w:tcPr>
            <w:tcW w:w="1728" w:type="dxa"/>
            <w:tcBorders>
              <w:top w:val="single" w:sz="8" w:space="0" w:color="000000"/>
              <w:left w:val="nil"/>
              <w:bottom w:val="single" w:sz="8" w:space="0" w:color="000000"/>
              <w:right w:val="nil"/>
            </w:tcBorders>
          </w:tcPr>
          <w:p w:rsidR="00FD2E1E" w:rsidRPr="00DD0A01" w:rsidRDefault="00FD2E1E" w:rsidP="00FD2E1E">
            <w:pPr>
              <w:rPr>
                <w:rFonts w:ascii="Calibri" w:hAnsi="Calibri" w:cs="Arial"/>
                <w:bCs/>
                <w:color w:val="000000"/>
                <w:sz w:val="22"/>
              </w:rPr>
            </w:pPr>
          </w:p>
        </w:tc>
        <w:tc>
          <w:tcPr>
            <w:tcW w:w="1320" w:type="dxa"/>
            <w:tcBorders>
              <w:top w:val="single" w:sz="8" w:space="0" w:color="000000"/>
              <w:left w:val="nil"/>
              <w:bottom w:val="single" w:sz="8" w:space="0" w:color="000000"/>
              <w:right w:val="nil"/>
            </w:tcBorders>
          </w:tcPr>
          <w:p w:rsidR="00FD2E1E" w:rsidRPr="00DD0A01" w:rsidRDefault="00FD2E1E" w:rsidP="00FD2E1E">
            <w:pPr>
              <w:jc w:val="center"/>
              <w:rPr>
                <w:rFonts w:ascii="Calibri" w:hAnsi="Calibri" w:cs="Arial"/>
                <w:bCs/>
                <w:color w:val="000000"/>
                <w:sz w:val="22"/>
              </w:rPr>
            </w:pPr>
            <w:r w:rsidRPr="00DD0A01">
              <w:rPr>
                <w:rFonts w:ascii="Calibri" w:hAnsi="Calibri" w:cs="Arial"/>
                <w:bCs/>
                <w:color w:val="000000"/>
                <w:sz w:val="22"/>
              </w:rPr>
              <w:t>NATL-west</w:t>
            </w:r>
            <w:r w:rsidRPr="00DD0A01">
              <w:rPr>
                <w:rFonts w:ascii="Calibri" w:hAnsi="Calibri" w:cs="Arial"/>
                <w:bCs/>
                <w:color w:val="000000"/>
                <w:sz w:val="22"/>
              </w:rPr>
              <w:br/>
              <w:t>public</w:t>
            </w:r>
          </w:p>
        </w:tc>
        <w:tc>
          <w:tcPr>
            <w:tcW w:w="1320" w:type="dxa"/>
            <w:tcBorders>
              <w:top w:val="single" w:sz="8" w:space="0" w:color="000000"/>
              <w:left w:val="nil"/>
              <w:bottom w:val="single" w:sz="8" w:space="0" w:color="000000"/>
              <w:right w:val="nil"/>
            </w:tcBorders>
          </w:tcPr>
          <w:p w:rsidR="00FD2E1E" w:rsidRPr="00DD0A01" w:rsidRDefault="00FD2E1E" w:rsidP="00FD2E1E">
            <w:pPr>
              <w:jc w:val="center"/>
              <w:rPr>
                <w:rFonts w:ascii="Calibri" w:hAnsi="Calibri" w:cs="Arial"/>
                <w:bCs/>
                <w:color w:val="000000"/>
                <w:sz w:val="22"/>
              </w:rPr>
            </w:pPr>
            <w:r w:rsidRPr="00DD0A01">
              <w:rPr>
                <w:rFonts w:ascii="Calibri" w:hAnsi="Calibri" w:cs="Arial"/>
                <w:bCs/>
                <w:color w:val="000000"/>
                <w:sz w:val="22"/>
              </w:rPr>
              <w:t>NATL-west</w:t>
            </w:r>
            <w:r w:rsidRPr="00DD0A01">
              <w:rPr>
                <w:rFonts w:ascii="Calibri" w:hAnsi="Calibri" w:cs="Arial"/>
                <w:bCs/>
                <w:color w:val="000000"/>
                <w:sz w:val="22"/>
              </w:rPr>
              <w:br/>
              <w:t>restricted</w:t>
            </w:r>
          </w:p>
        </w:tc>
        <w:tc>
          <w:tcPr>
            <w:tcW w:w="1320" w:type="dxa"/>
            <w:tcBorders>
              <w:top w:val="single" w:sz="8" w:space="0" w:color="000000"/>
              <w:left w:val="nil"/>
              <w:bottom w:val="single" w:sz="8" w:space="0" w:color="000000"/>
              <w:right w:val="nil"/>
            </w:tcBorders>
          </w:tcPr>
          <w:p w:rsidR="00FD2E1E" w:rsidRPr="00DD0A01" w:rsidRDefault="00FD2E1E" w:rsidP="00FD2E1E">
            <w:pPr>
              <w:jc w:val="center"/>
              <w:rPr>
                <w:rFonts w:ascii="Calibri" w:hAnsi="Calibri" w:cs="Arial"/>
                <w:bCs/>
                <w:color w:val="000000"/>
                <w:sz w:val="22"/>
              </w:rPr>
            </w:pPr>
            <w:r w:rsidRPr="00DD0A01">
              <w:rPr>
                <w:rFonts w:ascii="Calibri" w:hAnsi="Calibri" w:cs="Arial"/>
                <w:bCs/>
                <w:color w:val="000000"/>
                <w:sz w:val="22"/>
              </w:rPr>
              <w:t>NATL-east</w:t>
            </w:r>
            <w:r w:rsidRPr="00DD0A01">
              <w:rPr>
                <w:rFonts w:ascii="Calibri" w:hAnsi="Calibri" w:cs="Arial"/>
                <w:bCs/>
                <w:color w:val="000000"/>
                <w:sz w:val="22"/>
              </w:rPr>
              <w:br/>
            </w:r>
          </w:p>
        </w:tc>
        <w:tc>
          <w:tcPr>
            <w:tcW w:w="1320" w:type="dxa"/>
            <w:tcBorders>
              <w:top w:val="single" w:sz="8" w:space="0" w:color="000000"/>
              <w:left w:val="nil"/>
              <w:bottom w:val="single" w:sz="8" w:space="0" w:color="000000"/>
              <w:right w:val="nil"/>
            </w:tcBorders>
          </w:tcPr>
          <w:p w:rsidR="00FD2E1E" w:rsidRPr="00DD0A01" w:rsidRDefault="00FD2E1E" w:rsidP="00FD2E1E">
            <w:pPr>
              <w:jc w:val="center"/>
              <w:rPr>
                <w:rFonts w:ascii="Calibri" w:hAnsi="Calibri" w:cs="Arial"/>
                <w:bCs/>
                <w:color w:val="000000"/>
                <w:sz w:val="22"/>
              </w:rPr>
            </w:pPr>
            <w:r w:rsidRPr="00DD0A01">
              <w:rPr>
                <w:rFonts w:ascii="Calibri" w:hAnsi="Calibri" w:cs="Arial"/>
                <w:bCs/>
                <w:color w:val="000000"/>
                <w:sz w:val="22"/>
              </w:rPr>
              <w:t>Sum</w:t>
            </w:r>
          </w:p>
        </w:tc>
        <w:tc>
          <w:tcPr>
            <w:tcW w:w="1320" w:type="dxa"/>
            <w:tcBorders>
              <w:top w:val="single" w:sz="8" w:space="0" w:color="000000"/>
              <w:left w:val="nil"/>
              <w:bottom w:val="single" w:sz="8" w:space="0" w:color="000000"/>
              <w:right w:val="nil"/>
            </w:tcBorders>
          </w:tcPr>
          <w:p w:rsidR="00FD2E1E" w:rsidRPr="00DD0A01" w:rsidRDefault="00FD2E1E" w:rsidP="00FD2E1E">
            <w:pPr>
              <w:jc w:val="center"/>
              <w:rPr>
                <w:rFonts w:ascii="Calibri" w:hAnsi="Calibri" w:cs="Arial"/>
                <w:bCs/>
                <w:color w:val="000000"/>
                <w:sz w:val="22"/>
              </w:rPr>
            </w:pPr>
            <w:r w:rsidRPr="00DD0A01">
              <w:rPr>
                <w:rFonts w:ascii="Calibri" w:hAnsi="Calibri" w:cs="Arial"/>
                <w:bCs/>
                <w:color w:val="000000"/>
                <w:sz w:val="22"/>
              </w:rPr>
              <w:t xml:space="preserve">Decline from </w:t>
            </w:r>
            <w:r w:rsidRPr="00DD0A01">
              <w:rPr>
                <w:rFonts w:ascii="Calibri" w:hAnsi="Calibri" w:cs="Arial"/>
                <w:bCs/>
                <w:color w:val="000000"/>
                <w:sz w:val="22"/>
              </w:rPr>
              <w:br/>
              <w:t>prev. yr</w:t>
            </w:r>
          </w:p>
        </w:tc>
        <w:tc>
          <w:tcPr>
            <w:tcW w:w="1320" w:type="dxa"/>
            <w:tcBorders>
              <w:top w:val="single" w:sz="8" w:space="0" w:color="000000"/>
              <w:left w:val="nil"/>
              <w:bottom w:val="single" w:sz="8" w:space="0" w:color="000000"/>
              <w:right w:val="nil"/>
            </w:tcBorders>
          </w:tcPr>
          <w:p w:rsidR="00FD2E1E" w:rsidRPr="00DD0A01" w:rsidRDefault="00FD2E1E" w:rsidP="00FD2E1E">
            <w:pPr>
              <w:jc w:val="center"/>
              <w:rPr>
                <w:rFonts w:ascii="Calibri" w:hAnsi="Calibri" w:cs="Arial"/>
                <w:bCs/>
                <w:color w:val="000000"/>
                <w:sz w:val="22"/>
              </w:rPr>
            </w:pPr>
            <w:r w:rsidRPr="00DD0A01">
              <w:rPr>
                <w:rFonts w:ascii="Calibri" w:hAnsi="Calibri" w:cs="Arial"/>
                <w:bCs/>
                <w:color w:val="000000"/>
                <w:sz w:val="22"/>
              </w:rPr>
              <w:t>Decline</w:t>
            </w:r>
            <w:r w:rsidRPr="00DD0A01">
              <w:rPr>
                <w:rFonts w:ascii="Calibri" w:hAnsi="Calibri" w:cs="Arial"/>
                <w:bCs/>
                <w:color w:val="000000"/>
                <w:sz w:val="22"/>
              </w:rPr>
              <w:br/>
              <w:t>since</w:t>
            </w:r>
            <w:r w:rsidRPr="00DD0A01">
              <w:rPr>
                <w:rFonts w:ascii="Calibri" w:hAnsi="Calibri" w:cs="Arial"/>
                <w:bCs/>
                <w:color w:val="000000"/>
                <w:sz w:val="22"/>
              </w:rPr>
              <w:br/>
              <w:t>2009</w:t>
            </w:r>
          </w:p>
        </w:tc>
      </w:tr>
      <w:tr w:rsidR="00FD2E1E" w:rsidRPr="00DD0A01" w:rsidTr="00FD2E1E">
        <w:tc>
          <w:tcPr>
            <w:tcW w:w="1728" w:type="dxa"/>
          </w:tcPr>
          <w:p w:rsidR="00FD2E1E" w:rsidRPr="00DD0A01" w:rsidRDefault="00FD2E1E" w:rsidP="00FD2E1E">
            <w:pPr>
              <w:spacing w:before="60" w:line="312" w:lineRule="auto"/>
              <w:rPr>
                <w:rFonts w:ascii="Calibri" w:hAnsi="Calibri" w:cs="Arial"/>
                <w:bCs/>
                <w:color w:val="000000"/>
                <w:sz w:val="22"/>
              </w:rPr>
            </w:pPr>
            <w:r w:rsidRPr="00DD0A01">
              <w:rPr>
                <w:rFonts w:ascii="Calibri" w:hAnsi="Calibri" w:cs="Arial"/>
                <w:bCs/>
                <w:color w:val="000000"/>
                <w:sz w:val="22"/>
              </w:rPr>
              <w:t>January 2009</w:t>
            </w:r>
            <w:r w:rsidRPr="00DD0A01">
              <w:rPr>
                <w:rFonts w:ascii="Calibri" w:hAnsi="Calibri" w:cs="Arial"/>
                <w:bCs/>
                <w:color w:val="000000"/>
                <w:sz w:val="22"/>
                <w:vertAlign w:val="superscript"/>
              </w:rPr>
              <w:t>a</w:t>
            </w:r>
          </w:p>
        </w:tc>
        <w:tc>
          <w:tcPr>
            <w:tcW w:w="1320" w:type="dxa"/>
          </w:tcPr>
          <w:p w:rsidR="00FD2E1E" w:rsidRPr="00DD0A01" w:rsidRDefault="00FD2E1E" w:rsidP="00FD2E1E">
            <w:pPr>
              <w:spacing w:before="60" w:line="312" w:lineRule="auto"/>
              <w:jc w:val="center"/>
              <w:rPr>
                <w:rFonts w:ascii="Calibri" w:hAnsi="Calibri" w:cs="Arial"/>
                <w:color w:val="000000"/>
                <w:sz w:val="22"/>
              </w:rPr>
            </w:pPr>
            <w:r w:rsidRPr="00DD0A01">
              <w:rPr>
                <w:rFonts w:ascii="Calibri" w:hAnsi="Calibri" w:cs="Arial"/>
                <w:color w:val="000000"/>
                <w:sz w:val="22"/>
              </w:rPr>
              <w:t>585</w:t>
            </w:r>
          </w:p>
        </w:tc>
        <w:tc>
          <w:tcPr>
            <w:tcW w:w="1320" w:type="dxa"/>
          </w:tcPr>
          <w:p w:rsidR="00FD2E1E" w:rsidRPr="00DD0A01" w:rsidRDefault="00FD2E1E" w:rsidP="00FD2E1E">
            <w:pPr>
              <w:spacing w:before="60" w:line="312" w:lineRule="auto"/>
              <w:jc w:val="center"/>
              <w:rPr>
                <w:rFonts w:ascii="Calibri" w:hAnsi="Calibri" w:cs="Arial"/>
                <w:color w:val="000000"/>
                <w:sz w:val="22"/>
              </w:rPr>
            </w:pPr>
            <w:r w:rsidRPr="00DD0A01">
              <w:rPr>
                <w:rFonts w:ascii="Calibri" w:hAnsi="Calibri" w:cs="Arial"/>
                <w:color w:val="000000"/>
                <w:sz w:val="22"/>
              </w:rPr>
              <w:t>&gt;712</w:t>
            </w:r>
          </w:p>
        </w:tc>
        <w:tc>
          <w:tcPr>
            <w:tcW w:w="1320" w:type="dxa"/>
          </w:tcPr>
          <w:p w:rsidR="00FD2E1E" w:rsidRPr="00DD0A01" w:rsidRDefault="00FD2E1E" w:rsidP="00FD2E1E">
            <w:pPr>
              <w:spacing w:before="60" w:line="312" w:lineRule="auto"/>
              <w:jc w:val="center"/>
              <w:rPr>
                <w:rFonts w:ascii="Calibri" w:hAnsi="Calibri" w:cs="Arial"/>
                <w:color w:val="000000"/>
                <w:sz w:val="22"/>
              </w:rPr>
            </w:pPr>
            <w:r w:rsidRPr="00DD0A01">
              <w:rPr>
                <w:rFonts w:ascii="Calibri" w:hAnsi="Calibri" w:cs="Arial"/>
                <w:color w:val="000000"/>
                <w:sz w:val="22"/>
              </w:rPr>
              <w:t>No data</w:t>
            </w:r>
          </w:p>
        </w:tc>
        <w:tc>
          <w:tcPr>
            <w:tcW w:w="1320" w:type="dxa"/>
          </w:tcPr>
          <w:p w:rsidR="00FD2E1E" w:rsidRPr="00DD0A01" w:rsidRDefault="00FD2E1E" w:rsidP="00FD2E1E">
            <w:pPr>
              <w:spacing w:before="60" w:line="312" w:lineRule="auto"/>
              <w:jc w:val="center"/>
              <w:rPr>
                <w:rFonts w:ascii="Calibri" w:hAnsi="Calibri" w:cs="Arial"/>
                <w:color w:val="000000"/>
                <w:sz w:val="22"/>
              </w:rPr>
            </w:pPr>
            <w:r w:rsidRPr="00DD0A01">
              <w:rPr>
                <w:rFonts w:ascii="Calibri" w:hAnsi="Calibri" w:cs="Arial"/>
                <w:color w:val="000000"/>
                <w:sz w:val="22"/>
              </w:rPr>
              <w:t>&gt;&gt;1297</w:t>
            </w:r>
          </w:p>
        </w:tc>
        <w:tc>
          <w:tcPr>
            <w:tcW w:w="1320" w:type="dxa"/>
          </w:tcPr>
          <w:p w:rsidR="00FD2E1E" w:rsidRPr="00DD0A01" w:rsidRDefault="00FD2E1E" w:rsidP="00FD2E1E">
            <w:pPr>
              <w:spacing w:before="60" w:line="312" w:lineRule="auto"/>
              <w:jc w:val="center"/>
              <w:rPr>
                <w:rFonts w:ascii="Calibri" w:hAnsi="Calibri" w:cs="Arial"/>
                <w:color w:val="000000"/>
                <w:sz w:val="22"/>
              </w:rPr>
            </w:pPr>
          </w:p>
        </w:tc>
        <w:tc>
          <w:tcPr>
            <w:tcW w:w="1320" w:type="dxa"/>
          </w:tcPr>
          <w:p w:rsidR="00FD2E1E" w:rsidRPr="00DD0A01" w:rsidRDefault="00FD2E1E" w:rsidP="00FD2E1E">
            <w:pPr>
              <w:spacing w:before="60" w:line="312" w:lineRule="auto"/>
              <w:jc w:val="center"/>
              <w:rPr>
                <w:rFonts w:ascii="Calibri" w:hAnsi="Calibri" w:cs="Arial"/>
                <w:color w:val="000000"/>
                <w:sz w:val="22"/>
              </w:rPr>
            </w:pPr>
          </w:p>
        </w:tc>
      </w:tr>
      <w:tr w:rsidR="00FD2E1E" w:rsidRPr="00DD0A01" w:rsidTr="00FD2E1E">
        <w:tc>
          <w:tcPr>
            <w:tcW w:w="1728" w:type="dxa"/>
          </w:tcPr>
          <w:p w:rsidR="00FD2E1E" w:rsidRPr="00DD0A01" w:rsidRDefault="00FD2E1E" w:rsidP="00FD2E1E">
            <w:pPr>
              <w:spacing w:line="312" w:lineRule="auto"/>
              <w:rPr>
                <w:rFonts w:ascii="Calibri" w:hAnsi="Calibri" w:cs="Arial"/>
                <w:bCs/>
                <w:color w:val="000000"/>
                <w:sz w:val="22"/>
              </w:rPr>
            </w:pPr>
            <w:r w:rsidRPr="00DD0A01">
              <w:rPr>
                <w:rFonts w:ascii="Calibri" w:hAnsi="Calibri" w:cs="Arial"/>
                <w:bCs/>
                <w:color w:val="000000"/>
                <w:sz w:val="22"/>
              </w:rPr>
              <w:t>February 2010</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96</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122</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98</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316</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&gt;76%</w:t>
            </w:r>
          </w:p>
        </w:tc>
        <w:tc>
          <w:tcPr>
            <w:tcW w:w="1320" w:type="dxa"/>
          </w:tcPr>
          <w:p w:rsidR="00FD2E1E" w:rsidRPr="00DD0A01" w:rsidRDefault="00FD2E1E" w:rsidP="00FD2E1E">
            <w:pPr>
              <w:spacing w:line="312" w:lineRule="auto"/>
              <w:jc w:val="center"/>
              <w:rPr>
                <w:rFonts w:ascii="Calibri" w:hAnsi="Calibri" w:cs="Arial"/>
                <w:b/>
                <w:color w:val="000000"/>
                <w:sz w:val="22"/>
              </w:rPr>
            </w:pPr>
            <w:r w:rsidRPr="00DD0A01">
              <w:rPr>
                <w:rFonts w:ascii="Calibri" w:hAnsi="Calibri" w:cs="Arial"/>
                <w:b/>
                <w:color w:val="000000"/>
                <w:sz w:val="22"/>
              </w:rPr>
              <w:t>&gt;76%</w:t>
            </w:r>
          </w:p>
        </w:tc>
      </w:tr>
      <w:tr w:rsidR="00FD2E1E" w:rsidRPr="00DD0A01" w:rsidTr="00FD2E1E">
        <w:tc>
          <w:tcPr>
            <w:tcW w:w="1728" w:type="dxa"/>
          </w:tcPr>
          <w:p w:rsidR="00FD2E1E" w:rsidRPr="00DD0A01" w:rsidRDefault="00FD2E1E" w:rsidP="00FD2E1E">
            <w:pPr>
              <w:spacing w:line="312" w:lineRule="auto"/>
              <w:rPr>
                <w:rFonts w:ascii="Calibri" w:hAnsi="Calibri" w:cs="Arial"/>
                <w:bCs/>
                <w:color w:val="000000"/>
                <w:sz w:val="22"/>
              </w:rPr>
            </w:pPr>
            <w:r w:rsidRPr="00DD0A01">
              <w:rPr>
                <w:rFonts w:ascii="Calibri" w:hAnsi="Calibri" w:cs="Arial"/>
                <w:bCs/>
                <w:color w:val="000000"/>
                <w:sz w:val="22"/>
              </w:rPr>
              <w:t>January 2011</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34</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20</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27</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81</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74%</w:t>
            </w:r>
          </w:p>
        </w:tc>
        <w:tc>
          <w:tcPr>
            <w:tcW w:w="1320" w:type="dxa"/>
          </w:tcPr>
          <w:p w:rsidR="00FD2E1E" w:rsidRPr="00DD0A01" w:rsidRDefault="00FD2E1E" w:rsidP="00FD2E1E">
            <w:pPr>
              <w:spacing w:line="312" w:lineRule="auto"/>
              <w:jc w:val="center"/>
              <w:rPr>
                <w:rFonts w:ascii="Calibri" w:hAnsi="Calibri" w:cs="Arial"/>
                <w:b/>
                <w:color w:val="000000"/>
                <w:sz w:val="22"/>
              </w:rPr>
            </w:pPr>
            <w:r w:rsidRPr="00DD0A01">
              <w:rPr>
                <w:rFonts w:ascii="Calibri" w:hAnsi="Calibri" w:cs="Arial"/>
                <w:b/>
                <w:color w:val="000000"/>
                <w:sz w:val="22"/>
              </w:rPr>
              <w:t>&gt;94%</w:t>
            </w:r>
          </w:p>
        </w:tc>
      </w:tr>
      <w:tr w:rsidR="00FD2E1E" w:rsidRPr="00DD0A01" w:rsidTr="00FD2E1E">
        <w:tc>
          <w:tcPr>
            <w:tcW w:w="1728" w:type="dxa"/>
          </w:tcPr>
          <w:p w:rsidR="00FD2E1E" w:rsidRPr="00DD0A01" w:rsidRDefault="00FD2E1E" w:rsidP="00FD2E1E">
            <w:pPr>
              <w:spacing w:line="312" w:lineRule="auto"/>
              <w:rPr>
                <w:rFonts w:ascii="Calibri" w:hAnsi="Calibri" w:cs="Arial"/>
                <w:bCs/>
                <w:color w:val="000000"/>
                <w:sz w:val="22"/>
              </w:rPr>
            </w:pPr>
            <w:r w:rsidRPr="00DD0A01">
              <w:rPr>
                <w:rFonts w:ascii="Calibri" w:hAnsi="Calibri" w:cs="Arial"/>
                <w:bCs/>
                <w:color w:val="000000"/>
                <w:sz w:val="22"/>
              </w:rPr>
              <w:t>March 2012</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2</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3</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0</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5</w:t>
            </w:r>
          </w:p>
        </w:tc>
        <w:tc>
          <w:tcPr>
            <w:tcW w:w="1320" w:type="dxa"/>
          </w:tcPr>
          <w:p w:rsidR="00FD2E1E" w:rsidRPr="00DD0A01" w:rsidRDefault="00FD2E1E" w:rsidP="00FD2E1E">
            <w:pPr>
              <w:spacing w:line="312" w:lineRule="auto"/>
              <w:jc w:val="center"/>
              <w:rPr>
                <w:rFonts w:ascii="Calibri" w:hAnsi="Calibri" w:cs="Arial"/>
                <w:color w:val="000000"/>
                <w:sz w:val="22"/>
              </w:rPr>
            </w:pPr>
            <w:r w:rsidRPr="00DD0A01">
              <w:rPr>
                <w:rFonts w:ascii="Calibri" w:hAnsi="Calibri" w:cs="Arial"/>
                <w:color w:val="000000"/>
                <w:sz w:val="22"/>
              </w:rPr>
              <w:t>94%</w:t>
            </w:r>
          </w:p>
        </w:tc>
        <w:tc>
          <w:tcPr>
            <w:tcW w:w="1320" w:type="dxa"/>
          </w:tcPr>
          <w:p w:rsidR="00FD2E1E" w:rsidRPr="00DD0A01" w:rsidRDefault="00FD2E1E" w:rsidP="00FD2E1E">
            <w:pPr>
              <w:spacing w:line="312" w:lineRule="auto"/>
              <w:jc w:val="center"/>
              <w:rPr>
                <w:rFonts w:ascii="Calibri" w:hAnsi="Calibri" w:cs="Arial"/>
                <w:b/>
                <w:color w:val="000000"/>
                <w:sz w:val="22"/>
              </w:rPr>
            </w:pPr>
            <w:r w:rsidRPr="00DD0A01">
              <w:rPr>
                <w:rFonts w:ascii="Calibri" w:hAnsi="Calibri" w:cs="Arial"/>
                <w:b/>
                <w:color w:val="000000"/>
                <w:sz w:val="22"/>
              </w:rPr>
              <w:t>&gt;99%</w:t>
            </w:r>
          </w:p>
        </w:tc>
      </w:tr>
    </w:tbl>
    <w:p w:rsidR="00534F73" w:rsidRPr="00534F73" w:rsidRDefault="00534F73" w:rsidP="00534F73">
      <w:pPr>
        <w:spacing w:after="120"/>
        <w:rPr>
          <w:rFonts w:ascii="Arial" w:hAnsi="Arial" w:cs="Arial"/>
        </w:rPr>
      </w:pPr>
      <w:r>
        <w:rPr>
          <w:rFonts w:ascii="Arial" w:hAnsi="Arial" w:cs="Arial"/>
        </w:rPr>
        <w:br w:type="page"/>
      </w:r>
      <w:r>
        <w:rPr>
          <w:rFonts w:ascii="Arial" w:hAnsi="Arial" w:cs="Arial"/>
        </w:rPr>
        <w:lastRenderedPageBreak/>
        <w:t>Introduction</w:t>
      </w:r>
    </w:p>
    <w:p w:rsidR="001B7AC2" w:rsidRDefault="00343EEA" w:rsidP="008E1427">
      <w:pPr>
        <w:spacing w:after="120"/>
      </w:pPr>
      <w:r w:rsidRPr="00343EEA">
        <w:t>I</w:t>
      </w:r>
      <w:r>
        <w:t xml:space="preserve">n 2009, Gerardo Celis and Corrie Pieterson </w:t>
      </w:r>
      <w:r w:rsidR="002D321A">
        <w:t>were awarded</w:t>
      </w:r>
      <w:r>
        <w:t xml:space="preserve"> a minigrant t</w:t>
      </w:r>
      <w:r w:rsidR="008459F9">
        <w:t xml:space="preserve">o study </w:t>
      </w:r>
      <w:r>
        <w:t>NATL invasives</w:t>
      </w:r>
      <w:r w:rsidR="00A87B30">
        <w:t xml:space="preserve"> (</w:t>
      </w:r>
      <w:hyperlink r:id="rId9" w:history="1">
        <w:r w:rsidR="00A87B30" w:rsidRPr="00A6429F">
          <w:rPr>
            <w:rStyle w:val="Hyperlink"/>
          </w:rPr>
          <w:t>http://natl.ifas.ufl.edu/minigrants.htm</w:t>
        </w:r>
      </w:hyperlink>
      <w:r w:rsidR="00A87B30">
        <w:t>)</w:t>
      </w:r>
      <w:r>
        <w:t xml:space="preserve">.  A central feature of their </w:t>
      </w:r>
      <w:r w:rsidR="00B30784">
        <w:t>work</w:t>
      </w:r>
      <w:r>
        <w:t xml:space="preserve"> was </w:t>
      </w:r>
      <w:r w:rsidR="002D321A">
        <w:t>map</w:t>
      </w:r>
      <w:r w:rsidR="00B30784">
        <w:t>ping</w:t>
      </w:r>
      <w:r w:rsidR="002D321A">
        <w:t xml:space="preserve"> and mechanica</w:t>
      </w:r>
      <w:r w:rsidR="00B30784">
        <w:t>l</w:t>
      </w:r>
      <w:r w:rsidR="002D321A">
        <w:t>l</w:t>
      </w:r>
      <w:r w:rsidR="00B30784">
        <w:t>y</w:t>
      </w:r>
      <w:r w:rsidR="002D321A">
        <w:t xml:space="preserve"> remov</w:t>
      </w:r>
      <w:r w:rsidR="00B30784">
        <w:t>ing</w:t>
      </w:r>
      <w:r>
        <w:t xml:space="preserve"> </w:t>
      </w:r>
      <w:r w:rsidRPr="00C04930">
        <w:rPr>
          <w:i/>
        </w:rPr>
        <w:t>Ardisia</w:t>
      </w:r>
      <w:r w:rsidR="008459F9" w:rsidRPr="00C04930">
        <w:rPr>
          <w:i/>
        </w:rPr>
        <w:t xml:space="preserve"> </w:t>
      </w:r>
      <w:r w:rsidR="00C04930" w:rsidRPr="00C04930">
        <w:rPr>
          <w:i/>
        </w:rPr>
        <w:t>crenata</w:t>
      </w:r>
      <w:r w:rsidR="00C04930">
        <w:t xml:space="preserve"> </w:t>
      </w:r>
      <w:r w:rsidR="008459F9">
        <w:t xml:space="preserve">from </w:t>
      </w:r>
      <w:r w:rsidR="00A33607">
        <w:t>the</w:t>
      </w:r>
      <w:r w:rsidR="008459F9">
        <w:t xml:space="preserve"> infested area</w:t>
      </w:r>
      <w:r w:rsidR="002D321A">
        <w:t>s</w:t>
      </w:r>
      <w:r w:rsidR="008459F9">
        <w:t xml:space="preserve"> in NATL-west.  In their Final Report (</w:t>
      </w:r>
      <w:hyperlink r:id="rId10" w:history="1">
        <w:r w:rsidR="008459F9" w:rsidRPr="00A6429F">
          <w:rPr>
            <w:rStyle w:val="Hyperlink"/>
          </w:rPr>
          <w:t>http://natl.ifas.ufl.edu/C</w:t>
        </w:r>
        <w:r w:rsidR="008459F9" w:rsidRPr="00A6429F">
          <w:rPr>
            <w:rStyle w:val="Hyperlink"/>
          </w:rPr>
          <w:t>e</w:t>
        </w:r>
        <w:r w:rsidR="008459F9" w:rsidRPr="00A6429F">
          <w:rPr>
            <w:rStyle w:val="Hyperlink"/>
          </w:rPr>
          <w:t>lis_Pieterson_finalrept.pdf</w:t>
        </w:r>
      </w:hyperlink>
      <w:r w:rsidR="008459F9">
        <w:t>),</w:t>
      </w:r>
      <w:r w:rsidR="008459F9" w:rsidRPr="00343EEA">
        <w:t xml:space="preserve"> </w:t>
      </w:r>
      <w:r w:rsidR="008459F9">
        <w:t>they</w:t>
      </w:r>
      <w:r w:rsidR="002D321A">
        <w:t xml:space="preserve"> reported </w:t>
      </w:r>
    </w:p>
    <w:p w:rsidR="001B7AC2" w:rsidRPr="001B7AC2" w:rsidRDefault="002D321A" w:rsidP="001B7AC2">
      <w:pPr>
        <w:spacing w:after="120"/>
        <w:ind w:left="360" w:right="360"/>
        <w:rPr>
          <w:sz w:val="20"/>
        </w:rPr>
      </w:pPr>
      <w:r w:rsidRPr="001B7AC2">
        <w:rPr>
          <w:sz w:val="20"/>
        </w:rPr>
        <w:t>“</w:t>
      </w:r>
      <w:r w:rsidR="00A33607" w:rsidRPr="001B7AC2">
        <w:rPr>
          <w:sz w:val="20"/>
        </w:rPr>
        <w:t xml:space="preserve">We removed 1297 adults and 8397 juveniles/seedlings weighing a total of 373 lbs. While we were surveying the hardwood hammock, our initial impression was that the infestation was less severe in previously treated areas. However, the GIS maps (Figures 2 &amp; 3) indicate that in comparison to the 2001 inventory there was no apparent difference in number of individuals present between areas where </w:t>
      </w:r>
      <w:r w:rsidR="00A33607" w:rsidRPr="001B7AC2">
        <w:rPr>
          <w:i/>
          <w:sz w:val="20"/>
        </w:rPr>
        <w:t>Ardisia</w:t>
      </w:r>
      <w:r w:rsidR="00A33607" w:rsidRPr="001B7AC2">
        <w:rPr>
          <w:sz w:val="20"/>
        </w:rPr>
        <w:t xml:space="preserve"> had been treated previously and other areas (Figures 4 &amp; 5).”</w:t>
      </w:r>
      <w:r w:rsidR="00343EEA" w:rsidRPr="001B7AC2">
        <w:rPr>
          <w:sz w:val="20"/>
        </w:rPr>
        <w:t xml:space="preserve"> </w:t>
      </w:r>
    </w:p>
    <w:p w:rsidR="00B30784" w:rsidRDefault="00B30784" w:rsidP="008E1427">
      <w:pPr>
        <w:spacing w:after="120"/>
      </w:pPr>
      <w:r>
        <w:t xml:space="preserve">This was disappointing because substantial efforts to reduce </w:t>
      </w:r>
      <w:r w:rsidRPr="0044766C">
        <w:rPr>
          <w:i/>
        </w:rPr>
        <w:t>Ardisia</w:t>
      </w:r>
      <w:r>
        <w:t xml:space="preserve"> in NATL had been made during the two years prior to the minigrant work.  However, </w:t>
      </w:r>
      <w:r w:rsidR="0044766C">
        <w:t>re-reading the report of Fox and Kitajima</w:t>
      </w:r>
      <w:r>
        <w:t xml:space="preserve"> </w:t>
      </w:r>
      <w:r w:rsidR="0044766C">
        <w:t xml:space="preserve">(2001, </w:t>
      </w:r>
      <w:hyperlink r:id="rId11" w:history="1">
        <w:r w:rsidR="0044766C" w:rsidRPr="00227B94">
          <w:rPr>
            <w:rStyle w:val="Hyperlink"/>
          </w:rPr>
          <w:t>http://natl.ifas.ufl.e</w:t>
        </w:r>
        <w:r w:rsidR="0044766C" w:rsidRPr="00227B94">
          <w:rPr>
            <w:rStyle w:val="Hyperlink"/>
          </w:rPr>
          <w:t>d</w:t>
        </w:r>
        <w:r w:rsidR="0044766C" w:rsidRPr="00227B94">
          <w:rPr>
            <w:rStyle w:val="Hyperlink"/>
          </w:rPr>
          <w:t>u</w:t>
        </w:r>
        <w:r w:rsidR="0044766C" w:rsidRPr="00227B94">
          <w:rPr>
            <w:rStyle w:val="Hyperlink"/>
          </w:rPr>
          <w:t>/Fox&amp;Kitajima2001.pdf</w:t>
        </w:r>
      </w:hyperlink>
      <w:r w:rsidR="0044766C">
        <w:t xml:space="preserve">) on their studies of </w:t>
      </w:r>
      <w:r w:rsidR="0044766C" w:rsidRPr="0044766C">
        <w:rPr>
          <w:i/>
        </w:rPr>
        <w:t>Ardisia</w:t>
      </w:r>
      <w:r w:rsidR="0044766C">
        <w:t xml:space="preserve"> life history </w:t>
      </w:r>
      <w:r>
        <w:t xml:space="preserve">made it seem </w:t>
      </w:r>
      <w:r w:rsidR="000D5DCE">
        <w:t>logical</w:t>
      </w:r>
      <w:r>
        <w:t xml:space="preserve"> to </w:t>
      </w:r>
      <w:r w:rsidR="000D5DCE">
        <w:t>change</w:t>
      </w:r>
      <w:r>
        <w:t xml:space="preserve"> the goal </w:t>
      </w:r>
      <w:r w:rsidR="000D5DCE">
        <w:t xml:space="preserve">of </w:t>
      </w:r>
      <w:r w:rsidR="000D5DCE" w:rsidRPr="000D5DCE">
        <w:rPr>
          <w:i/>
        </w:rPr>
        <w:t>Ardisia</w:t>
      </w:r>
      <w:r w:rsidR="000D5DCE">
        <w:t xml:space="preserve"> treatment </w:t>
      </w:r>
      <w:r w:rsidR="0044766C">
        <w:t xml:space="preserve">in NATL </w:t>
      </w:r>
      <w:r>
        <w:t>from reduction to eradication.</w:t>
      </w:r>
    </w:p>
    <w:p w:rsidR="000737E0" w:rsidRPr="00534F73" w:rsidRDefault="00FF69C3" w:rsidP="004A6B88">
      <w:pPr>
        <w:spacing w:after="120"/>
        <w:rPr>
          <w:rFonts w:ascii="Arial" w:hAnsi="Arial" w:cs="Arial"/>
        </w:rPr>
      </w:pPr>
      <w:r w:rsidRPr="00534F73">
        <w:rPr>
          <w:rFonts w:ascii="Arial" w:hAnsi="Arial" w:cs="Arial"/>
        </w:rPr>
        <w:t>Premises</w:t>
      </w:r>
      <w:r w:rsidR="00460284" w:rsidRPr="00534F73">
        <w:rPr>
          <w:rFonts w:ascii="Arial" w:hAnsi="Arial" w:cs="Arial"/>
        </w:rPr>
        <w:t xml:space="preserve"> </w:t>
      </w:r>
      <w:r w:rsidR="00386C7E" w:rsidRPr="00534F73">
        <w:rPr>
          <w:rFonts w:ascii="Arial" w:hAnsi="Arial" w:cs="Arial"/>
        </w:rPr>
        <w:t>of e</w:t>
      </w:r>
      <w:r w:rsidR="00C04930" w:rsidRPr="00534F73">
        <w:rPr>
          <w:rFonts w:ascii="Arial" w:hAnsi="Arial" w:cs="Arial"/>
        </w:rPr>
        <w:t>radication</w:t>
      </w:r>
      <w:r w:rsidR="00CA36EB" w:rsidRPr="00534F73">
        <w:rPr>
          <w:rFonts w:ascii="Arial" w:hAnsi="Arial" w:cs="Arial"/>
        </w:rPr>
        <w:t xml:space="preserve"> plan</w:t>
      </w:r>
    </w:p>
    <w:p w:rsidR="0044766C" w:rsidRPr="0044766C" w:rsidRDefault="007C0B3E" w:rsidP="00227B94">
      <w:pPr>
        <w:spacing w:after="120"/>
      </w:pPr>
      <w:r>
        <w:t xml:space="preserve">These </w:t>
      </w:r>
      <w:r w:rsidR="007503A0">
        <w:t>four</w:t>
      </w:r>
      <w:r>
        <w:t xml:space="preserve"> considerations are critical to the success of </w:t>
      </w:r>
      <w:r w:rsidR="00FF69C3">
        <w:t>the current</w:t>
      </w:r>
      <w:r>
        <w:t xml:space="preserve"> </w:t>
      </w:r>
      <w:r w:rsidRPr="007C0B3E">
        <w:rPr>
          <w:i/>
        </w:rPr>
        <w:t>Ardisia</w:t>
      </w:r>
      <w:r w:rsidR="00FF69C3">
        <w:t xml:space="preserve"> eradication plan:</w:t>
      </w:r>
    </w:p>
    <w:p w:rsidR="000737E0" w:rsidRPr="007C0B3E" w:rsidRDefault="000737E0" w:rsidP="007C0B3E">
      <w:pPr>
        <w:numPr>
          <w:ilvl w:val="0"/>
          <w:numId w:val="3"/>
        </w:numPr>
        <w:spacing w:after="120"/>
        <w:rPr>
          <w:sz w:val="20"/>
        </w:rPr>
      </w:pPr>
      <w:r w:rsidRPr="00386C7E">
        <w:rPr>
          <w:i/>
        </w:rPr>
        <w:t>Ardisia</w:t>
      </w:r>
      <w:r w:rsidRPr="00386C7E">
        <w:t xml:space="preserve"> has no seed</w:t>
      </w:r>
      <w:r w:rsidR="00C93ECD" w:rsidRPr="00386C7E">
        <w:t xml:space="preserve"> dormancy  </w:t>
      </w:r>
      <w:r w:rsidR="00386C7E" w:rsidRPr="00386C7E">
        <w:br/>
      </w:r>
      <w:r w:rsidR="00C93ECD" w:rsidRPr="007C0B3E">
        <w:rPr>
          <w:sz w:val="20"/>
        </w:rPr>
        <w:t xml:space="preserve">Fox and Kitajima </w:t>
      </w:r>
      <w:r w:rsidR="00227B94" w:rsidRPr="007C0B3E">
        <w:rPr>
          <w:sz w:val="20"/>
        </w:rPr>
        <w:t>(</w:t>
      </w:r>
      <w:hyperlink r:id="rId12" w:history="1">
        <w:r w:rsidR="0044766C" w:rsidRPr="00086490">
          <w:rPr>
            <w:rStyle w:val="Hyperlink"/>
            <w:sz w:val="20"/>
          </w:rPr>
          <w:t>2001</w:t>
        </w:r>
      </w:hyperlink>
      <w:r w:rsidR="0044766C" w:rsidRPr="007C0B3E">
        <w:rPr>
          <w:sz w:val="20"/>
        </w:rPr>
        <w:t xml:space="preserve">, </w:t>
      </w:r>
      <w:r w:rsidR="00227B94" w:rsidRPr="007C0B3E">
        <w:rPr>
          <w:sz w:val="20"/>
        </w:rPr>
        <w:t>p. 2</w:t>
      </w:r>
      <w:r w:rsidR="00C93ECD" w:rsidRPr="007C0B3E">
        <w:rPr>
          <w:color w:val="000000"/>
          <w:sz w:val="20"/>
        </w:rPr>
        <w:t xml:space="preserve">) found “no evidence of internal seed dormancy mechanisms or soil seed banks” in </w:t>
      </w:r>
      <w:r w:rsidR="00C93ECD" w:rsidRPr="007C0B3E">
        <w:rPr>
          <w:i/>
          <w:color w:val="000000"/>
          <w:sz w:val="20"/>
        </w:rPr>
        <w:t>Ardisia</w:t>
      </w:r>
      <w:r w:rsidR="00C93ECD" w:rsidRPr="007C0B3E">
        <w:rPr>
          <w:color w:val="000000"/>
          <w:sz w:val="20"/>
        </w:rPr>
        <w:t xml:space="preserve">. </w:t>
      </w:r>
      <w:r w:rsidR="00C93ECD" w:rsidRPr="007C0B3E">
        <w:rPr>
          <w:sz w:val="20"/>
        </w:rPr>
        <w:t xml:space="preserve"> Seeds that mature on the plants </w:t>
      </w:r>
      <w:r w:rsidR="00A26FE7">
        <w:rPr>
          <w:sz w:val="20"/>
        </w:rPr>
        <w:t xml:space="preserve">in NATL </w:t>
      </w:r>
      <w:r w:rsidR="00C93ECD" w:rsidRPr="007C0B3E">
        <w:rPr>
          <w:sz w:val="20"/>
        </w:rPr>
        <w:t>either germinate</w:t>
      </w:r>
      <w:r w:rsidR="00227B94" w:rsidRPr="007C0B3E">
        <w:rPr>
          <w:sz w:val="20"/>
        </w:rPr>
        <w:t xml:space="preserve"> or die within their first year</w:t>
      </w:r>
      <w:r w:rsidRPr="007C0B3E">
        <w:rPr>
          <w:sz w:val="20"/>
        </w:rPr>
        <w:t>.</w:t>
      </w:r>
    </w:p>
    <w:p w:rsidR="000737E0" w:rsidRPr="007C0B3E" w:rsidRDefault="000737E0" w:rsidP="007C0B3E">
      <w:pPr>
        <w:numPr>
          <w:ilvl w:val="0"/>
          <w:numId w:val="3"/>
        </w:numPr>
        <w:spacing w:after="120"/>
        <w:rPr>
          <w:sz w:val="20"/>
        </w:rPr>
      </w:pPr>
      <w:r w:rsidRPr="00386C7E">
        <w:t xml:space="preserve">Nearly all </w:t>
      </w:r>
      <w:r w:rsidR="00386C7E" w:rsidRPr="00386C7E">
        <w:rPr>
          <w:i/>
        </w:rPr>
        <w:t>Ardisia</w:t>
      </w:r>
      <w:r w:rsidRPr="00386C7E">
        <w:t xml:space="preserve"> seeds in NATL come from mature plants in NATL.</w:t>
      </w:r>
      <w:r w:rsidR="00386C7E" w:rsidRPr="00386C7E">
        <w:br/>
      </w:r>
      <w:r w:rsidR="00227B94" w:rsidRPr="007C0B3E">
        <w:rPr>
          <w:sz w:val="20"/>
        </w:rPr>
        <w:t>Fox&amp;Kitajima (</w:t>
      </w:r>
      <w:hyperlink r:id="rId13" w:history="1">
        <w:r w:rsidR="00227B94" w:rsidRPr="00086490">
          <w:rPr>
            <w:rStyle w:val="Hyperlink"/>
            <w:sz w:val="20"/>
          </w:rPr>
          <w:t>2001</w:t>
        </w:r>
      </w:hyperlink>
      <w:r w:rsidR="00227B94" w:rsidRPr="007C0B3E">
        <w:rPr>
          <w:sz w:val="20"/>
        </w:rPr>
        <w:t xml:space="preserve">, p.26-28) </w:t>
      </w:r>
      <w:r w:rsidR="0013041C" w:rsidRPr="007C0B3E">
        <w:rPr>
          <w:sz w:val="20"/>
        </w:rPr>
        <w:t xml:space="preserve">found that most mature seeds stayed on Ardisia plants for months.  In one study 50% of mature berries were still on the plants in mid April and 10% remained at the end of June.  Most of the fruit that disappeared from plants simply dropped to the ground and could be recovered in trays placed </w:t>
      </w:r>
      <w:r w:rsidR="00146569" w:rsidRPr="007C0B3E">
        <w:rPr>
          <w:sz w:val="20"/>
        </w:rPr>
        <w:t xml:space="preserve">on the ground beneath.  They observed damaged fruit but </w:t>
      </w:r>
      <w:r w:rsidR="00A26FE7">
        <w:rPr>
          <w:sz w:val="20"/>
        </w:rPr>
        <w:t xml:space="preserve">had no information </w:t>
      </w:r>
      <w:r w:rsidR="00146569" w:rsidRPr="007C0B3E">
        <w:rPr>
          <w:sz w:val="20"/>
        </w:rPr>
        <w:t>as to what species accounted for the damage and possible removal of fruit</w:t>
      </w:r>
      <w:r w:rsidR="00A26FE7">
        <w:rPr>
          <w:sz w:val="20"/>
        </w:rPr>
        <w:t xml:space="preserve"> from the immediate vicinity of the plant</w:t>
      </w:r>
      <w:r w:rsidR="00146569" w:rsidRPr="007C0B3E">
        <w:rPr>
          <w:sz w:val="20"/>
        </w:rPr>
        <w:t>.</w:t>
      </w:r>
      <w:r w:rsidR="00386C7E" w:rsidRPr="007C0B3E">
        <w:rPr>
          <w:sz w:val="20"/>
        </w:rPr>
        <w:t xml:space="preserve">  </w:t>
      </w:r>
      <w:r w:rsidR="00A26FE7">
        <w:rPr>
          <w:sz w:val="20"/>
        </w:rPr>
        <w:t xml:space="preserve">Except for a few </w:t>
      </w:r>
      <w:r w:rsidR="00453EB1">
        <w:rPr>
          <w:sz w:val="20"/>
        </w:rPr>
        <w:t>small sites</w:t>
      </w:r>
      <w:r w:rsidR="00A26FE7">
        <w:rPr>
          <w:sz w:val="20"/>
        </w:rPr>
        <w:t xml:space="preserve"> just beyond NATL’s south boundary and already tended to, </w:t>
      </w:r>
      <w:r w:rsidR="00453EB1">
        <w:rPr>
          <w:sz w:val="20"/>
        </w:rPr>
        <w:t xml:space="preserve">no </w:t>
      </w:r>
      <w:r w:rsidR="00453EB1" w:rsidRPr="00453EB1">
        <w:rPr>
          <w:i/>
          <w:sz w:val="20"/>
        </w:rPr>
        <w:t>Ardisia</w:t>
      </w:r>
      <w:r w:rsidR="00453EB1">
        <w:rPr>
          <w:sz w:val="20"/>
        </w:rPr>
        <w:t>-infested area is known from which flightless wildlife could conceivably transport seeds to NATL.  Alth</w:t>
      </w:r>
      <w:r w:rsidR="00386C7E" w:rsidRPr="007C0B3E">
        <w:rPr>
          <w:sz w:val="20"/>
        </w:rPr>
        <w:t xml:space="preserve">ough transport of </w:t>
      </w:r>
      <w:r w:rsidR="00453EB1" w:rsidRPr="00453EB1">
        <w:rPr>
          <w:i/>
          <w:sz w:val="20"/>
        </w:rPr>
        <w:t>Ardisia</w:t>
      </w:r>
      <w:r w:rsidR="00453EB1">
        <w:rPr>
          <w:sz w:val="20"/>
        </w:rPr>
        <w:t xml:space="preserve"> </w:t>
      </w:r>
      <w:r w:rsidR="00386C7E" w:rsidRPr="007C0B3E">
        <w:rPr>
          <w:sz w:val="20"/>
        </w:rPr>
        <w:t xml:space="preserve">seeds into NATL by </w:t>
      </w:r>
      <w:r w:rsidR="00453EB1">
        <w:rPr>
          <w:sz w:val="20"/>
        </w:rPr>
        <w:t>birds</w:t>
      </w:r>
      <w:r w:rsidR="00386C7E" w:rsidRPr="007C0B3E">
        <w:rPr>
          <w:sz w:val="20"/>
        </w:rPr>
        <w:t xml:space="preserve"> or man may occur</w:t>
      </w:r>
      <w:r w:rsidR="00453EB1">
        <w:rPr>
          <w:sz w:val="20"/>
        </w:rPr>
        <w:t xml:space="preserve">, </w:t>
      </w:r>
      <w:r w:rsidR="00AB6212" w:rsidRPr="007C0B3E">
        <w:rPr>
          <w:sz w:val="20"/>
        </w:rPr>
        <w:t>it</w:t>
      </w:r>
      <w:r w:rsidR="00386C7E" w:rsidRPr="007C0B3E">
        <w:rPr>
          <w:sz w:val="20"/>
        </w:rPr>
        <w:t xml:space="preserve"> must be </w:t>
      </w:r>
      <w:r w:rsidR="00AB6212" w:rsidRPr="007C0B3E">
        <w:rPr>
          <w:sz w:val="20"/>
        </w:rPr>
        <w:t>exceedingly</w:t>
      </w:r>
      <w:r w:rsidR="00386C7E" w:rsidRPr="007C0B3E">
        <w:rPr>
          <w:sz w:val="20"/>
        </w:rPr>
        <w:t xml:space="preserve"> </w:t>
      </w:r>
      <w:r w:rsidR="00453EB1">
        <w:rPr>
          <w:sz w:val="20"/>
        </w:rPr>
        <w:t>rare.</w:t>
      </w:r>
    </w:p>
    <w:p w:rsidR="007503A0" w:rsidRPr="00DD3AB3" w:rsidRDefault="00AB6212" w:rsidP="007C0B3E">
      <w:pPr>
        <w:numPr>
          <w:ilvl w:val="0"/>
          <w:numId w:val="3"/>
        </w:numPr>
        <w:spacing w:after="120"/>
        <w:rPr>
          <w:sz w:val="20"/>
          <w:szCs w:val="20"/>
        </w:rPr>
      </w:pPr>
      <w:r>
        <w:t xml:space="preserve">Mature individuals are unusually easy to spot </w:t>
      </w:r>
      <w:r w:rsidR="00CA2DE1">
        <w:t>once</w:t>
      </w:r>
      <w:r>
        <w:t xml:space="preserve"> their berries turn red</w:t>
      </w:r>
      <w:r w:rsidR="00CA2DE1">
        <w:t xml:space="preserve"> in late December.</w:t>
      </w:r>
      <w:r w:rsidR="00FA5439">
        <w:br/>
      </w:r>
      <w:r w:rsidR="007503A0" w:rsidRPr="007C0B3E">
        <w:rPr>
          <w:sz w:val="20"/>
        </w:rPr>
        <w:t>Fox&amp;Kitajima (</w:t>
      </w:r>
      <w:hyperlink r:id="rId14" w:history="1">
        <w:r w:rsidR="007503A0" w:rsidRPr="00086490">
          <w:rPr>
            <w:rStyle w:val="Hyperlink"/>
            <w:sz w:val="20"/>
          </w:rPr>
          <w:t>20</w:t>
        </w:r>
        <w:r w:rsidR="007503A0" w:rsidRPr="00086490">
          <w:rPr>
            <w:rStyle w:val="Hyperlink"/>
            <w:sz w:val="20"/>
          </w:rPr>
          <w:t>0</w:t>
        </w:r>
        <w:r w:rsidR="007503A0" w:rsidRPr="00086490">
          <w:rPr>
            <w:rStyle w:val="Hyperlink"/>
            <w:sz w:val="20"/>
          </w:rPr>
          <w:t>1</w:t>
        </w:r>
      </w:hyperlink>
      <w:r w:rsidR="00DD3AB3">
        <w:rPr>
          <w:sz w:val="20"/>
        </w:rPr>
        <w:t>, p.26</w:t>
      </w:r>
      <w:r w:rsidR="007503A0" w:rsidRPr="007C0B3E">
        <w:rPr>
          <w:sz w:val="20"/>
        </w:rPr>
        <w:t xml:space="preserve">) found </w:t>
      </w:r>
      <w:r w:rsidR="00DD3AB3">
        <w:rPr>
          <w:sz w:val="20"/>
          <w:szCs w:val="20"/>
        </w:rPr>
        <w:t>that</w:t>
      </w:r>
      <w:r w:rsidR="007503A0" w:rsidRPr="00DD3AB3">
        <w:rPr>
          <w:i/>
          <w:sz w:val="20"/>
          <w:szCs w:val="20"/>
        </w:rPr>
        <w:t xml:space="preserve"> </w:t>
      </w:r>
      <w:r w:rsidR="00FA5439" w:rsidRPr="00DD3AB3">
        <w:rPr>
          <w:i/>
          <w:sz w:val="20"/>
          <w:szCs w:val="20"/>
        </w:rPr>
        <w:t>Ardisia</w:t>
      </w:r>
      <w:r w:rsidR="00FA5439" w:rsidRPr="00DD3AB3">
        <w:rPr>
          <w:sz w:val="20"/>
          <w:szCs w:val="20"/>
        </w:rPr>
        <w:t xml:space="preserve"> plants </w:t>
      </w:r>
      <w:r w:rsidR="00DD3AB3" w:rsidRPr="00DD3AB3">
        <w:rPr>
          <w:sz w:val="20"/>
          <w:szCs w:val="20"/>
        </w:rPr>
        <w:t>flower in May, green fruit are generally present by early September,</w:t>
      </w:r>
      <w:r w:rsidR="00CA2DE1">
        <w:rPr>
          <w:sz w:val="20"/>
          <w:szCs w:val="20"/>
        </w:rPr>
        <w:t xml:space="preserve"> and </w:t>
      </w:r>
      <w:r w:rsidR="00DD3AB3" w:rsidRPr="00DD3AB3">
        <w:rPr>
          <w:sz w:val="20"/>
          <w:szCs w:val="20"/>
        </w:rPr>
        <w:t>most fruit do not “ripen to their mature red coloration until late December.”  They did not study the relationship between fruit colorat</w:t>
      </w:r>
      <w:r w:rsidR="00453EB1">
        <w:rPr>
          <w:sz w:val="20"/>
          <w:szCs w:val="20"/>
        </w:rPr>
        <w:t xml:space="preserve">ion and competence to germinate, but </w:t>
      </w:r>
      <w:r w:rsidR="00074249">
        <w:rPr>
          <w:sz w:val="20"/>
          <w:szCs w:val="20"/>
        </w:rPr>
        <w:t xml:space="preserve">plants stripped of their green </w:t>
      </w:r>
      <w:r w:rsidR="00453EB1">
        <w:rPr>
          <w:sz w:val="20"/>
          <w:szCs w:val="20"/>
        </w:rPr>
        <w:t xml:space="preserve">fruit </w:t>
      </w:r>
      <w:r w:rsidR="00074249">
        <w:rPr>
          <w:sz w:val="20"/>
          <w:szCs w:val="20"/>
        </w:rPr>
        <w:t>prior to December will not be counted as potential contributors to the seedling cohort of the following year.</w:t>
      </w:r>
    </w:p>
    <w:p w:rsidR="00AB6212" w:rsidRPr="00DD3AB3" w:rsidRDefault="007503A0" w:rsidP="007C0B3E">
      <w:pPr>
        <w:numPr>
          <w:ilvl w:val="0"/>
          <w:numId w:val="3"/>
        </w:numPr>
        <w:spacing w:after="120"/>
        <w:rPr>
          <w:sz w:val="20"/>
          <w:szCs w:val="20"/>
        </w:rPr>
      </w:pPr>
      <w:r>
        <w:t xml:space="preserve">A 2% aqueous foliar spray of triclopyr kills </w:t>
      </w:r>
      <w:r w:rsidRPr="00DD3AB3">
        <w:rPr>
          <w:i/>
        </w:rPr>
        <w:t>Ardisia</w:t>
      </w:r>
      <w:r>
        <w:t xml:space="preserve"> plants.</w:t>
      </w:r>
      <w:r>
        <w:br/>
      </w:r>
      <w:r w:rsidRPr="00086490">
        <w:rPr>
          <w:sz w:val="20"/>
        </w:rPr>
        <w:t>Erick Smith (2009</w:t>
      </w:r>
      <w:r w:rsidR="004A6B88">
        <w:rPr>
          <w:sz w:val="20"/>
        </w:rPr>
        <w:t xml:space="preserve"> and</w:t>
      </w:r>
      <w:r w:rsidR="00E9193E" w:rsidRPr="00086490">
        <w:rPr>
          <w:sz w:val="20"/>
        </w:rPr>
        <w:t xml:space="preserve"> 2010</w:t>
      </w:r>
      <w:r w:rsidRPr="00086490">
        <w:rPr>
          <w:sz w:val="20"/>
        </w:rPr>
        <w:t>, personal communication</w:t>
      </w:r>
      <w:r w:rsidR="00E9193E" w:rsidRPr="00086490">
        <w:rPr>
          <w:sz w:val="20"/>
        </w:rPr>
        <w:t>s</w:t>
      </w:r>
      <w:r w:rsidRPr="00086490">
        <w:rPr>
          <w:sz w:val="20"/>
        </w:rPr>
        <w:t xml:space="preserve">) </w:t>
      </w:r>
      <w:r w:rsidR="004A6B88">
        <w:rPr>
          <w:sz w:val="20"/>
        </w:rPr>
        <w:t xml:space="preserve">emailed </w:t>
      </w:r>
      <w:r w:rsidRPr="00086490">
        <w:rPr>
          <w:sz w:val="20"/>
        </w:rPr>
        <w:t xml:space="preserve">that </w:t>
      </w:r>
      <w:r w:rsidR="00E9193E" w:rsidRPr="00086490">
        <w:rPr>
          <w:sz w:val="20"/>
        </w:rPr>
        <w:t>2% Garlon 4 in water with Dyne-Amic surfactant</w:t>
      </w:r>
      <w:r w:rsidR="00086490" w:rsidRPr="00086490">
        <w:rPr>
          <w:sz w:val="20"/>
        </w:rPr>
        <w:t xml:space="preserve"> i</w:t>
      </w:r>
      <w:r w:rsidR="00E9193E" w:rsidRPr="00086490">
        <w:rPr>
          <w:sz w:val="20"/>
        </w:rPr>
        <w:t xml:space="preserve">s effective </w:t>
      </w:r>
      <w:r w:rsidR="00764F94">
        <w:rPr>
          <w:sz w:val="20"/>
        </w:rPr>
        <w:t xml:space="preserve">against all stages </w:t>
      </w:r>
      <w:r w:rsidR="004A6B88">
        <w:rPr>
          <w:sz w:val="20"/>
        </w:rPr>
        <w:t xml:space="preserve">of </w:t>
      </w:r>
      <w:r w:rsidR="004A6B88" w:rsidRPr="004A6B88">
        <w:rPr>
          <w:i/>
          <w:sz w:val="20"/>
        </w:rPr>
        <w:t>Ardisia</w:t>
      </w:r>
      <w:r w:rsidR="004A6B88">
        <w:rPr>
          <w:sz w:val="20"/>
        </w:rPr>
        <w:t xml:space="preserve"> </w:t>
      </w:r>
      <w:r w:rsidR="00764F94">
        <w:rPr>
          <w:sz w:val="20"/>
        </w:rPr>
        <w:t xml:space="preserve">and </w:t>
      </w:r>
      <w:r w:rsidR="00E9193E" w:rsidRPr="00086490">
        <w:rPr>
          <w:sz w:val="20"/>
        </w:rPr>
        <w:t>at all times of year</w:t>
      </w:r>
      <w:r w:rsidR="004A6B88">
        <w:rPr>
          <w:sz w:val="20"/>
        </w:rPr>
        <w:t>;</w:t>
      </w:r>
      <w:r w:rsidR="00E9193E" w:rsidRPr="00086490">
        <w:rPr>
          <w:sz w:val="20"/>
        </w:rPr>
        <w:t xml:space="preserve"> although in winter</w:t>
      </w:r>
      <w:r w:rsidR="00DD3AB3">
        <w:rPr>
          <w:sz w:val="20"/>
        </w:rPr>
        <w:t>,</w:t>
      </w:r>
      <w:r w:rsidR="00E9193E" w:rsidRPr="00086490">
        <w:rPr>
          <w:sz w:val="20"/>
        </w:rPr>
        <w:t xml:space="preserve"> plants m</w:t>
      </w:r>
      <w:r w:rsidR="00086490" w:rsidRPr="00086490">
        <w:rPr>
          <w:sz w:val="20"/>
        </w:rPr>
        <w:t>ay</w:t>
      </w:r>
      <w:r w:rsidR="00E9193E" w:rsidRPr="00086490">
        <w:rPr>
          <w:sz w:val="20"/>
        </w:rPr>
        <w:t xml:space="preserve"> take 3</w:t>
      </w:r>
      <w:r w:rsidR="00764F94">
        <w:rPr>
          <w:sz w:val="20"/>
        </w:rPr>
        <w:t xml:space="preserve"> to </w:t>
      </w:r>
      <w:r w:rsidR="00E9193E" w:rsidRPr="00086490">
        <w:rPr>
          <w:sz w:val="20"/>
        </w:rPr>
        <w:t>4 months to die.</w:t>
      </w:r>
      <w:r w:rsidR="00074249">
        <w:rPr>
          <w:sz w:val="20"/>
        </w:rPr>
        <w:t xml:space="preserve">  </w:t>
      </w:r>
    </w:p>
    <w:p w:rsidR="007503A0" w:rsidRPr="0025677F" w:rsidRDefault="00FA73D7" w:rsidP="004A6B88">
      <w:pPr>
        <w:spacing w:after="120"/>
        <w:rPr>
          <w:rFonts w:ascii="Arial" w:hAnsi="Arial" w:cs="Arial"/>
        </w:rPr>
      </w:pPr>
      <w:r w:rsidRPr="0025677F">
        <w:rPr>
          <w:rFonts w:ascii="Arial" w:hAnsi="Arial" w:cs="Arial"/>
        </w:rPr>
        <w:t>Development</w:t>
      </w:r>
      <w:r w:rsidR="00C0442A" w:rsidRPr="0025677F">
        <w:rPr>
          <w:rFonts w:ascii="Arial" w:hAnsi="Arial" w:cs="Arial"/>
        </w:rPr>
        <w:t xml:space="preserve"> of </w:t>
      </w:r>
      <w:r w:rsidR="00FF69C3" w:rsidRPr="0025677F">
        <w:rPr>
          <w:rFonts w:ascii="Arial" w:hAnsi="Arial" w:cs="Arial"/>
        </w:rPr>
        <w:t>the</w:t>
      </w:r>
      <w:r w:rsidR="00C0442A" w:rsidRPr="0025677F">
        <w:rPr>
          <w:rFonts w:ascii="Arial" w:hAnsi="Arial" w:cs="Arial"/>
        </w:rPr>
        <w:t xml:space="preserve"> eradication</w:t>
      </w:r>
      <w:r w:rsidR="007503A0" w:rsidRPr="0025677F">
        <w:rPr>
          <w:rFonts w:ascii="Arial" w:hAnsi="Arial" w:cs="Arial"/>
        </w:rPr>
        <w:t xml:space="preserve"> plan</w:t>
      </w:r>
    </w:p>
    <w:p w:rsidR="00972115" w:rsidRDefault="00E04762" w:rsidP="00D10E82">
      <w:pPr>
        <w:spacing w:after="120"/>
        <w:rPr>
          <w:rFonts w:ascii="Arial" w:hAnsi="Arial" w:cs="Arial"/>
        </w:rPr>
      </w:pPr>
      <w:r>
        <w:t xml:space="preserve">In </w:t>
      </w:r>
      <w:r w:rsidR="00A45182">
        <w:t>early</w:t>
      </w:r>
      <w:r>
        <w:t xml:space="preserve"> February, 2010, when resources for </w:t>
      </w:r>
      <w:r w:rsidRPr="00A45182">
        <w:rPr>
          <w:i/>
        </w:rPr>
        <w:t>Ardisia</w:t>
      </w:r>
      <w:r>
        <w:t xml:space="preserve"> control became available, the initial plan was to study the possibility of </w:t>
      </w:r>
      <w:r w:rsidRPr="00A45182">
        <w:rPr>
          <w:i/>
        </w:rPr>
        <w:t xml:space="preserve">Ardisia </w:t>
      </w:r>
      <w:r>
        <w:t xml:space="preserve">eradication in NATL-east by mechanical removal of root crowns and </w:t>
      </w:r>
      <w:r w:rsidR="00074249">
        <w:t xml:space="preserve">above ground parts </w:t>
      </w:r>
      <w:r>
        <w:t>of all berry-bearing plants.  This plan quickly morphed into a plan to remove only the berries, mark the plant wi</w:t>
      </w:r>
      <w:r w:rsidR="00074249">
        <w:t>th a fluorescent pink flag, and</w:t>
      </w:r>
      <w:r w:rsidR="00447049">
        <w:t xml:space="preserve"> kill it later with a foliar application of triclopyr.  </w:t>
      </w:r>
      <w:r w:rsidR="00074249">
        <w:t>B</w:t>
      </w:r>
      <w:r w:rsidR="00447049">
        <w:t>erry removal in NATL-east was complete</w:t>
      </w:r>
      <w:r w:rsidR="00074249">
        <w:t>d by</w:t>
      </w:r>
      <w:r w:rsidR="001A7DCE">
        <w:t xml:space="preserve"> mid February, </w:t>
      </w:r>
      <w:r w:rsidR="00074249">
        <w:t xml:space="preserve">and </w:t>
      </w:r>
      <w:r w:rsidR="001A7DCE">
        <w:t>it was decided to</w:t>
      </w:r>
      <w:r w:rsidR="00447049">
        <w:t xml:space="preserve"> extend the procedure to </w:t>
      </w:r>
      <w:r w:rsidR="00074249">
        <w:t xml:space="preserve">the rest of </w:t>
      </w:r>
      <w:r w:rsidR="00447049">
        <w:t>NATL</w:t>
      </w:r>
      <w:r w:rsidR="00074249">
        <w:t>.  In NATL</w:t>
      </w:r>
      <w:r w:rsidR="00447049">
        <w:t>-west</w:t>
      </w:r>
      <w:r w:rsidR="001F2767">
        <w:t xml:space="preserve">, </w:t>
      </w:r>
      <w:r w:rsidR="00447049">
        <w:t>areas</w:t>
      </w:r>
      <w:r w:rsidR="001F2767">
        <w:t xml:space="preserve"> that had been</w:t>
      </w:r>
      <w:r w:rsidR="00447049">
        <w:t xml:space="preserve"> treated by Celis and Pieterson</w:t>
      </w:r>
      <w:r w:rsidR="001F2767">
        <w:t xml:space="preserve"> in 2009 proved to have</w:t>
      </w:r>
      <w:r w:rsidR="00447049">
        <w:t xml:space="preserve"> </w:t>
      </w:r>
      <w:r w:rsidR="00C0442A">
        <w:t>much lower numbers of berry-</w:t>
      </w:r>
    </w:p>
    <w:sectPr w:rsidR="00972115" w:rsidSect="00D10E82">
      <w:footerReference w:type="defaul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291" w:rsidRDefault="00522291" w:rsidP="00FB0105">
      <w:r>
        <w:separator/>
      </w:r>
    </w:p>
  </w:endnote>
  <w:endnote w:type="continuationSeparator" w:id="0">
    <w:p w:rsidR="00522291" w:rsidRDefault="00522291" w:rsidP="00FB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CD" w:rsidRDefault="00B12CCD">
    <w:pPr>
      <w:pStyle w:val="Footer"/>
      <w:jc w:val="center"/>
    </w:pPr>
    <w:r>
      <w:fldChar w:fldCharType="begin"/>
    </w:r>
    <w:r>
      <w:instrText xml:space="preserve"> PAGE   \* MERGEFORMAT </w:instrText>
    </w:r>
    <w:r>
      <w:fldChar w:fldCharType="separate"/>
    </w:r>
    <w:r w:rsidR="00D10E82">
      <w:rPr>
        <w:noProof/>
      </w:rPr>
      <w:t>1</w:t>
    </w:r>
    <w:r>
      <w:fldChar w:fldCharType="end"/>
    </w:r>
  </w:p>
  <w:p w:rsidR="00B12CCD" w:rsidRDefault="00B1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291" w:rsidRDefault="00522291" w:rsidP="00FB0105">
      <w:r>
        <w:separator/>
      </w:r>
    </w:p>
  </w:footnote>
  <w:footnote w:type="continuationSeparator" w:id="0">
    <w:p w:rsidR="00522291" w:rsidRDefault="00522291" w:rsidP="00FB0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CBD"/>
    <w:multiLevelType w:val="hybridMultilevel"/>
    <w:tmpl w:val="81589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16ED0"/>
    <w:multiLevelType w:val="hybridMultilevel"/>
    <w:tmpl w:val="CC7AD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520A8"/>
    <w:multiLevelType w:val="hybridMultilevel"/>
    <w:tmpl w:val="81589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667EA"/>
    <w:multiLevelType w:val="hybridMultilevel"/>
    <w:tmpl w:val="956CDC2A"/>
    <w:lvl w:ilvl="0" w:tplc="B0E82F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2311"/>
    <w:multiLevelType w:val="hybridMultilevel"/>
    <w:tmpl w:val="F0EC37A0"/>
    <w:lvl w:ilvl="0" w:tplc="CF50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0006B"/>
    <w:multiLevelType w:val="hybridMultilevel"/>
    <w:tmpl w:val="B39C1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8751D"/>
    <w:multiLevelType w:val="hybridMultilevel"/>
    <w:tmpl w:val="7C3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07D8"/>
    <w:multiLevelType w:val="hybridMultilevel"/>
    <w:tmpl w:val="66623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E8613B"/>
    <w:multiLevelType w:val="hybridMultilevel"/>
    <w:tmpl w:val="CFEAEEC2"/>
    <w:lvl w:ilvl="0" w:tplc="B0E82F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E0"/>
    <w:rsid w:val="00002789"/>
    <w:rsid w:val="00003666"/>
    <w:rsid w:val="000401F6"/>
    <w:rsid w:val="00044975"/>
    <w:rsid w:val="00047D6B"/>
    <w:rsid w:val="00051067"/>
    <w:rsid w:val="00056328"/>
    <w:rsid w:val="0007285F"/>
    <w:rsid w:val="000737E0"/>
    <w:rsid w:val="00074249"/>
    <w:rsid w:val="00075B5B"/>
    <w:rsid w:val="00086490"/>
    <w:rsid w:val="000A3F1C"/>
    <w:rsid w:val="000B64DE"/>
    <w:rsid w:val="000C0ACC"/>
    <w:rsid w:val="000D285B"/>
    <w:rsid w:val="000D5DCE"/>
    <w:rsid w:val="000E7B94"/>
    <w:rsid w:val="000F48EF"/>
    <w:rsid w:val="001038A4"/>
    <w:rsid w:val="00105F5C"/>
    <w:rsid w:val="00107094"/>
    <w:rsid w:val="001116E9"/>
    <w:rsid w:val="00111A00"/>
    <w:rsid w:val="00113143"/>
    <w:rsid w:val="00114EF6"/>
    <w:rsid w:val="0013041C"/>
    <w:rsid w:val="00142DA9"/>
    <w:rsid w:val="00146569"/>
    <w:rsid w:val="00146F68"/>
    <w:rsid w:val="0014741C"/>
    <w:rsid w:val="00150A0D"/>
    <w:rsid w:val="00151AE3"/>
    <w:rsid w:val="00162242"/>
    <w:rsid w:val="0018114B"/>
    <w:rsid w:val="001921C8"/>
    <w:rsid w:val="001A62A1"/>
    <w:rsid w:val="001A7DCE"/>
    <w:rsid w:val="001B710E"/>
    <w:rsid w:val="001B7AC2"/>
    <w:rsid w:val="001C6802"/>
    <w:rsid w:val="001F2767"/>
    <w:rsid w:val="001F76B4"/>
    <w:rsid w:val="002003C6"/>
    <w:rsid w:val="002006EF"/>
    <w:rsid w:val="00205232"/>
    <w:rsid w:val="00205F0E"/>
    <w:rsid w:val="00211EE6"/>
    <w:rsid w:val="0022052A"/>
    <w:rsid w:val="00224FE6"/>
    <w:rsid w:val="00227B94"/>
    <w:rsid w:val="002340B2"/>
    <w:rsid w:val="00241074"/>
    <w:rsid w:val="002518BE"/>
    <w:rsid w:val="00253C1B"/>
    <w:rsid w:val="0025677F"/>
    <w:rsid w:val="002736E0"/>
    <w:rsid w:val="00273DA4"/>
    <w:rsid w:val="00277B66"/>
    <w:rsid w:val="002807D6"/>
    <w:rsid w:val="00284C72"/>
    <w:rsid w:val="00291076"/>
    <w:rsid w:val="002914FD"/>
    <w:rsid w:val="002A1091"/>
    <w:rsid w:val="002B1F4B"/>
    <w:rsid w:val="002D321A"/>
    <w:rsid w:val="002D6A62"/>
    <w:rsid w:val="002F1DED"/>
    <w:rsid w:val="002F213E"/>
    <w:rsid w:val="002F61D9"/>
    <w:rsid w:val="0031234B"/>
    <w:rsid w:val="00323E6E"/>
    <w:rsid w:val="003253EC"/>
    <w:rsid w:val="00340755"/>
    <w:rsid w:val="00343EEA"/>
    <w:rsid w:val="00371DDF"/>
    <w:rsid w:val="00381546"/>
    <w:rsid w:val="00383255"/>
    <w:rsid w:val="00386C7E"/>
    <w:rsid w:val="003871FC"/>
    <w:rsid w:val="003B1006"/>
    <w:rsid w:val="003B2B1E"/>
    <w:rsid w:val="003B36C7"/>
    <w:rsid w:val="003B4CE9"/>
    <w:rsid w:val="003D78D4"/>
    <w:rsid w:val="003E0E61"/>
    <w:rsid w:val="003E51A3"/>
    <w:rsid w:val="003F105D"/>
    <w:rsid w:val="003F6BB2"/>
    <w:rsid w:val="0041298E"/>
    <w:rsid w:val="00413445"/>
    <w:rsid w:val="00420144"/>
    <w:rsid w:val="00421209"/>
    <w:rsid w:val="00421A8C"/>
    <w:rsid w:val="00424FCC"/>
    <w:rsid w:val="00425702"/>
    <w:rsid w:val="00425931"/>
    <w:rsid w:val="00433659"/>
    <w:rsid w:val="004462D9"/>
    <w:rsid w:val="00447049"/>
    <w:rsid w:val="0044766C"/>
    <w:rsid w:val="00450705"/>
    <w:rsid w:val="00453EB1"/>
    <w:rsid w:val="00457376"/>
    <w:rsid w:val="00460284"/>
    <w:rsid w:val="00496771"/>
    <w:rsid w:val="004A57C6"/>
    <w:rsid w:val="004A6B88"/>
    <w:rsid w:val="004B1EC3"/>
    <w:rsid w:val="004C546D"/>
    <w:rsid w:val="004D70BA"/>
    <w:rsid w:val="004D7C18"/>
    <w:rsid w:val="004E0353"/>
    <w:rsid w:val="004E4365"/>
    <w:rsid w:val="004E5EB5"/>
    <w:rsid w:val="004F76A9"/>
    <w:rsid w:val="005009B3"/>
    <w:rsid w:val="005070EB"/>
    <w:rsid w:val="00511094"/>
    <w:rsid w:val="00514209"/>
    <w:rsid w:val="00516510"/>
    <w:rsid w:val="00522291"/>
    <w:rsid w:val="00522A3E"/>
    <w:rsid w:val="00534F73"/>
    <w:rsid w:val="005643C0"/>
    <w:rsid w:val="005721AB"/>
    <w:rsid w:val="00574700"/>
    <w:rsid w:val="00576753"/>
    <w:rsid w:val="005905E0"/>
    <w:rsid w:val="00590D32"/>
    <w:rsid w:val="005A7E0A"/>
    <w:rsid w:val="005D151F"/>
    <w:rsid w:val="005D326C"/>
    <w:rsid w:val="005D6B42"/>
    <w:rsid w:val="00600E0D"/>
    <w:rsid w:val="00603CF8"/>
    <w:rsid w:val="00614AD3"/>
    <w:rsid w:val="00622766"/>
    <w:rsid w:val="00622925"/>
    <w:rsid w:val="00644B54"/>
    <w:rsid w:val="00647C19"/>
    <w:rsid w:val="0066289D"/>
    <w:rsid w:val="006651A9"/>
    <w:rsid w:val="00671683"/>
    <w:rsid w:val="00671C09"/>
    <w:rsid w:val="006759A3"/>
    <w:rsid w:val="0068214F"/>
    <w:rsid w:val="006943B1"/>
    <w:rsid w:val="0069787C"/>
    <w:rsid w:val="006C0001"/>
    <w:rsid w:val="006C3AA9"/>
    <w:rsid w:val="006C794F"/>
    <w:rsid w:val="006C7DDB"/>
    <w:rsid w:val="006D1391"/>
    <w:rsid w:val="006D75B3"/>
    <w:rsid w:val="006F0909"/>
    <w:rsid w:val="006F33E4"/>
    <w:rsid w:val="007013AD"/>
    <w:rsid w:val="00705FF1"/>
    <w:rsid w:val="00711FFF"/>
    <w:rsid w:val="00716B55"/>
    <w:rsid w:val="007241BD"/>
    <w:rsid w:val="007503A0"/>
    <w:rsid w:val="00764F94"/>
    <w:rsid w:val="00765289"/>
    <w:rsid w:val="007657DA"/>
    <w:rsid w:val="007907D7"/>
    <w:rsid w:val="007909B3"/>
    <w:rsid w:val="007A40BF"/>
    <w:rsid w:val="007B2CD7"/>
    <w:rsid w:val="007C0B3E"/>
    <w:rsid w:val="007C36ED"/>
    <w:rsid w:val="007C6075"/>
    <w:rsid w:val="007D7D16"/>
    <w:rsid w:val="007E4319"/>
    <w:rsid w:val="007E7C19"/>
    <w:rsid w:val="00831693"/>
    <w:rsid w:val="00831F3A"/>
    <w:rsid w:val="008459F9"/>
    <w:rsid w:val="00846B14"/>
    <w:rsid w:val="00865BE3"/>
    <w:rsid w:val="008736A2"/>
    <w:rsid w:val="00876D6D"/>
    <w:rsid w:val="00876F9F"/>
    <w:rsid w:val="00897243"/>
    <w:rsid w:val="008B7552"/>
    <w:rsid w:val="008C2B88"/>
    <w:rsid w:val="008E1427"/>
    <w:rsid w:val="008E2625"/>
    <w:rsid w:val="008F0C77"/>
    <w:rsid w:val="009015DB"/>
    <w:rsid w:val="00907035"/>
    <w:rsid w:val="009104D2"/>
    <w:rsid w:val="00915E3D"/>
    <w:rsid w:val="0092467C"/>
    <w:rsid w:val="0093495D"/>
    <w:rsid w:val="00953059"/>
    <w:rsid w:val="0096216D"/>
    <w:rsid w:val="0096605B"/>
    <w:rsid w:val="00972115"/>
    <w:rsid w:val="00973213"/>
    <w:rsid w:val="00981748"/>
    <w:rsid w:val="00986105"/>
    <w:rsid w:val="0099745B"/>
    <w:rsid w:val="009B2748"/>
    <w:rsid w:val="009C0FA0"/>
    <w:rsid w:val="009C546F"/>
    <w:rsid w:val="009C5A43"/>
    <w:rsid w:val="009D0061"/>
    <w:rsid w:val="00A26FE7"/>
    <w:rsid w:val="00A3045E"/>
    <w:rsid w:val="00A30817"/>
    <w:rsid w:val="00A33607"/>
    <w:rsid w:val="00A45182"/>
    <w:rsid w:val="00A752A8"/>
    <w:rsid w:val="00A77D92"/>
    <w:rsid w:val="00A87B30"/>
    <w:rsid w:val="00AB172A"/>
    <w:rsid w:val="00AB6212"/>
    <w:rsid w:val="00AC4326"/>
    <w:rsid w:val="00AC6202"/>
    <w:rsid w:val="00AC6A3F"/>
    <w:rsid w:val="00AE2C15"/>
    <w:rsid w:val="00AF29E0"/>
    <w:rsid w:val="00B02E0A"/>
    <w:rsid w:val="00B108FA"/>
    <w:rsid w:val="00B12CCD"/>
    <w:rsid w:val="00B30784"/>
    <w:rsid w:val="00B33F8A"/>
    <w:rsid w:val="00B45F8B"/>
    <w:rsid w:val="00B51755"/>
    <w:rsid w:val="00B56A99"/>
    <w:rsid w:val="00B577BA"/>
    <w:rsid w:val="00B83531"/>
    <w:rsid w:val="00B90A56"/>
    <w:rsid w:val="00B91FE0"/>
    <w:rsid w:val="00B97139"/>
    <w:rsid w:val="00BA6B8B"/>
    <w:rsid w:val="00BC4AAA"/>
    <w:rsid w:val="00BC5A72"/>
    <w:rsid w:val="00BD0758"/>
    <w:rsid w:val="00BD4D9A"/>
    <w:rsid w:val="00BE05D2"/>
    <w:rsid w:val="00BE11C4"/>
    <w:rsid w:val="00BE3144"/>
    <w:rsid w:val="00BE35D5"/>
    <w:rsid w:val="00BE5CB5"/>
    <w:rsid w:val="00C02BC0"/>
    <w:rsid w:val="00C0442A"/>
    <w:rsid w:val="00C04930"/>
    <w:rsid w:val="00C13325"/>
    <w:rsid w:val="00C30F1E"/>
    <w:rsid w:val="00C321C1"/>
    <w:rsid w:val="00C42787"/>
    <w:rsid w:val="00C460DF"/>
    <w:rsid w:val="00C53C19"/>
    <w:rsid w:val="00C6042E"/>
    <w:rsid w:val="00C80F8C"/>
    <w:rsid w:val="00C8685E"/>
    <w:rsid w:val="00C93ECD"/>
    <w:rsid w:val="00CA03B2"/>
    <w:rsid w:val="00CA197D"/>
    <w:rsid w:val="00CA2B99"/>
    <w:rsid w:val="00CA2DE1"/>
    <w:rsid w:val="00CA36EB"/>
    <w:rsid w:val="00CD2606"/>
    <w:rsid w:val="00CD42DF"/>
    <w:rsid w:val="00CE16EE"/>
    <w:rsid w:val="00CF6876"/>
    <w:rsid w:val="00D028BF"/>
    <w:rsid w:val="00D06EEA"/>
    <w:rsid w:val="00D10E82"/>
    <w:rsid w:val="00D17853"/>
    <w:rsid w:val="00D241F0"/>
    <w:rsid w:val="00D25AD7"/>
    <w:rsid w:val="00D26B16"/>
    <w:rsid w:val="00D27E0D"/>
    <w:rsid w:val="00D42682"/>
    <w:rsid w:val="00D779B3"/>
    <w:rsid w:val="00D84BE1"/>
    <w:rsid w:val="00D90EFD"/>
    <w:rsid w:val="00DA1139"/>
    <w:rsid w:val="00DA1B0B"/>
    <w:rsid w:val="00DA52F1"/>
    <w:rsid w:val="00DB58D5"/>
    <w:rsid w:val="00DC09A9"/>
    <w:rsid w:val="00DC5F5B"/>
    <w:rsid w:val="00DD0A01"/>
    <w:rsid w:val="00DD3AB3"/>
    <w:rsid w:val="00DD4A28"/>
    <w:rsid w:val="00DE1EBB"/>
    <w:rsid w:val="00DF1824"/>
    <w:rsid w:val="00E03508"/>
    <w:rsid w:val="00E04762"/>
    <w:rsid w:val="00E11991"/>
    <w:rsid w:val="00E11D24"/>
    <w:rsid w:val="00E34773"/>
    <w:rsid w:val="00E34FAA"/>
    <w:rsid w:val="00E35FEF"/>
    <w:rsid w:val="00E4063C"/>
    <w:rsid w:val="00E77124"/>
    <w:rsid w:val="00E8404E"/>
    <w:rsid w:val="00E9193E"/>
    <w:rsid w:val="00E923FD"/>
    <w:rsid w:val="00EA4590"/>
    <w:rsid w:val="00EB290E"/>
    <w:rsid w:val="00EE346C"/>
    <w:rsid w:val="00F17A74"/>
    <w:rsid w:val="00F24949"/>
    <w:rsid w:val="00F461B1"/>
    <w:rsid w:val="00F470BE"/>
    <w:rsid w:val="00F527A6"/>
    <w:rsid w:val="00F602ED"/>
    <w:rsid w:val="00F74813"/>
    <w:rsid w:val="00F76F50"/>
    <w:rsid w:val="00F77461"/>
    <w:rsid w:val="00F81EB4"/>
    <w:rsid w:val="00F93EEB"/>
    <w:rsid w:val="00FA5439"/>
    <w:rsid w:val="00FA73D7"/>
    <w:rsid w:val="00FB0105"/>
    <w:rsid w:val="00FC0426"/>
    <w:rsid w:val="00FC52B4"/>
    <w:rsid w:val="00FD27F0"/>
    <w:rsid w:val="00FD2E1E"/>
    <w:rsid w:val="00FE0394"/>
    <w:rsid w:val="00FF2122"/>
    <w:rsid w:val="00FF618E"/>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0E0FA0-6657-F94A-B487-599F64C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30F1E"/>
    <w:rPr>
      <w:rFonts w:ascii="Tahoma" w:hAnsi="Tahoma" w:cs="Tahoma"/>
      <w:sz w:val="16"/>
      <w:szCs w:val="16"/>
    </w:rPr>
  </w:style>
  <w:style w:type="character" w:styleId="Hyperlink">
    <w:name w:val="Hyperlink"/>
    <w:basedOn w:val="DefaultParagraphFont"/>
    <w:rsid w:val="00614AD3"/>
    <w:rPr>
      <w:color w:val="0000FF"/>
      <w:u w:val="single"/>
    </w:rPr>
  </w:style>
  <w:style w:type="paragraph" w:styleId="Header">
    <w:name w:val="header"/>
    <w:basedOn w:val="Normal"/>
    <w:link w:val="HeaderChar"/>
    <w:rsid w:val="00FB0105"/>
    <w:pPr>
      <w:tabs>
        <w:tab w:val="center" w:pos="4680"/>
        <w:tab w:val="right" w:pos="9360"/>
      </w:tabs>
    </w:pPr>
  </w:style>
  <w:style w:type="character" w:customStyle="1" w:styleId="HeaderChar">
    <w:name w:val="Header Char"/>
    <w:basedOn w:val="DefaultParagraphFont"/>
    <w:link w:val="Header"/>
    <w:rsid w:val="00FB0105"/>
    <w:rPr>
      <w:sz w:val="24"/>
      <w:szCs w:val="24"/>
    </w:rPr>
  </w:style>
  <w:style w:type="paragraph" w:styleId="Footer">
    <w:name w:val="footer"/>
    <w:basedOn w:val="Normal"/>
    <w:link w:val="FooterChar"/>
    <w:uiPriority w:val="99"/>
    <w:rsid w:val="00FB0105"/>
    <w:pPr>
      <w:tabs>
        <w:tab w:val="center" w:pos="4680"/>
        <w:tab w:val="right" w:pos="9360"/>
      </w:tabs>
    </w:pPr>
  </w:style>
  <w:style w:type="character" w:customStyle="1" w:styleId="FooterChar">
    <w:name w:val="Footer Char"/>
    <w:basedOn w:val="DefaultParagraphFont"/>
    <w:link w:val="Footer"/>
    <w:uiPriority w:val="99"/>
    <w:rsid w:val="00FB0105"/>
    <w:rPr>
      <w:sz w:val="24"/>
      <w:szCs w:val="24"/>
    </w:rPr>
  </w:style>
  <w:style w:type="character" w:styleId="FollowedHyperlink">
    <w:name w:val="FollowedHyperlink"/>
    <w:basedOn w:val="DefaultParagraphFont"/>
    <w:rsid w:val="004476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tl.ifas.ufl.edu/Fox&amp;Kitajima2001.pdf" TargetMode="External"/><Relationship Id="rId3" Type="http://schemas.openxmlformats.org/officeDocument/2006/relationships/settings" Target="settings.xml"/><Relationship Id="rId7" Type="http://schemas.openxmlformats.org/officeDocument/2006/relationships/hyperlink" Target="http://natl.ifas.ufl.edu/ardisiaplan.pdf" TargetMode="External"/><Relationship Id="rId12" Type="http://schemas.openxmlformats.org/officeDocument/2006/relationships/hyperlink" Target="http://natl.ifas.ufl.edu/Fox&amp;Kitajima20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l.ifas.ufl.edu/Fox&amp;Kitajima200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atl.ifas.ufl.edu/Celis_Pieterson_finalrept.pdf" TargetMode="External"/><Relationship Id="rId4" Type="http://schemas.openxmlformats.org/officeDocument/2006/relationships/webSettings" Target="webSettings.xml"/><Relationship Id="rId9" Type="http://schemas.openxmlformats.org/officeDocument/2006/relationships/hyperlink" Target="http://natl.ifas.ufl.edu/minigrants.htm" TargetMode="External"/><Relationship Id="rId14" Type="http://schemas.openxmlformats.org/officeDocument/2006/relationships/hyperlink" Target="http://natl.ifas.ufl.edu/Fox&amp;Kitajima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Control of Ardisia</vt:lpstr>
    </vt:vector>
  </TitlesOfParts>
  <Company>The University of Florida</Company>
  <LinksUpToDate>false</LinksUpToDate>
  <CharactersWithSpaces>6591</CharactersWithSpaces>
  <SharedDoc>false</SharedDoc>
  <HLinks>
    <vt:vector size="42" baseType="variant">
      <vt:variant>
        <vt:i4>5046297</vt:i4>
      </vt:variant>
      <vt:variant>
        <vt:i4>18</vt:i4>
      </vt:variant>
      <vt:variant>
        <vt:i4>0</vt:i4>
      </vt:variant>
      <vt:variant>
        <vt:i4>5</vt:i4>
      </vt:variant>
      <vt:variant>
        <vt:lpwstr>http://natl.ifas.ufl.edu/Fox&amp;Kitajima2001.pdf</vt:lpwstr>
      </vt:variant>
      <vt:variant>
        <vt:lpwstr/>
      </vt:variant>
      <vt:variant>
        <vt:i4>5046297</vt:i4>
      </vt:variant>
      <vt:variant>
        <vt:i4>15</vt:i4>
      </vt:variant>
      <vt:variant>
        <vt:i4>0</vt:i4>
      </vt:variant>
      <vt:variant>
        <vt:i4>5</vt:i4>
      </vt:variant>
      <vt:variant>
        <vt:lpwstr>http://natl.ifas.ufl.edu/Fox&amp;Kitajima2001.pdf</vt:lpwstr>
      </vt:variant>
      <vt:variant>
        <vt:lpwstr/>
      </vt:variant>
      <vt:variant>
        <vt:i4>5046297</vt:i4>
      </vt:variant>
      <vt:variant>
        <vt:i4>12</vt:i4>
      </vt:variant>
      <vt:variant>
        <vt:i4>0</vt:i4>
      </vt:variant>
      <vt:variant>
        <vt:i4>5</vt:i4>
      </vt:variant>
      <vt:variant>
        <vt:lpwstr>http://natl.ifas.ufl.edu/Fox&amp;Kitajima2001.pdf</vt:lpwstr>
      </vt:variant>
      <vt:variant>
        <vt:lpwstr/>
      </vt:variant>
      <vt:variant>
        <vt:i4>5046297</vt:i4>
      </vt:variant>
      <vt:variant>
        <vt:i4>9</vt:i4>
      </vt:variant>
      <vt:variant>
        <vt:i4>0</vt:i4>
      </vt:variant>
      <vt:variant>
        <vt:i4>5</vt:i4>
      </vt:variant>
      <vt:variant>
        <vt:lpwstr>http://natl.ifas.ufl.edu/Fox&amp;Kitajima2001.pdf</vt:lpwstr>
      </vt:variant>
      <vt:variant>
        <vt:lpwstr/>
      </vt:variant>
      <vt:variant>
        <vt:i4>7405677</vt:i4>
      </vt:variant>
      <vt:variant>
        <vt:i4>6</vt:i4>
      </vt:variant>
      <vt:variant>
        <vt:i4>0</vt:i4>
      </vt:variant>
      <vt:variant>
        <vt:i4>5</vt:i4>
      </vt:variant>
      <vt:variant>
        <vt:lpwstr>http://natl.ifas.ufl.edu/Celis_Pieterson_finalrept.pdf</vt:lpwstr>
      </vt:variant>
      <vt:variant>
        <vt:lpwstr/>
      </vt:variant>
      <vt:variant>
        <vt:i4>2621478</vt:i4>
      </vt:variant>
      <vt:variant>
        <vt:i4>3</vt:i4>
      </vt:variant>
      <vt:variant>
        <vt:i4>0</vt:i4>
      </vt:variant>
      <vt:variant>
        <vt:i4>5</vt:i4>
      </vt:variant>
      <vt:variant>
        <vt:lpwstr>http://natl.ifas.ufl.edu/minigrants.htm</vt:lpwstr>
      </vt:variant>
      <vt:variant>
        <vt:lpwstr/>
      </vt:variant>
      <vt:variant>
        <vt:i4>8</vt:i4>
      </vt:variant>
      <vt:variant>
        <vt:i4>0</vt:i4>
      </vt:variant>
      <vt:variant>
        <vt:i4>0</vt:i4>
      </vt:variant>
      <vt:variant>
        <vt:i4>5</vt:i4>
      </vt:variant>
      <vt:variant>
        <vt:lpwstr>http://natl.ifas.ufl.edu/ardisiaplan.pdf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Ardisia</dc:title>
  <dc:subject/>
  <dc:creator>IFAS Entomology &amp; Nematology</dc:creator>
  <cp:keywords/>
  <dc:description/>
  <cp:lastModifiedBy>Brown,James T</cp:lastModifiedBy>
  <cp:revision>2</cp:revision>
  <cp:lastPrinted>2012-03-29T18:17:00Z</cp:lastPrinted>
  <dcterms:created xsi:type="dcterms:W3CDTF">2020-02-20T15:07:00Z</dcterms:created>
  <dcterms:modified xsi:type="dcterms:W3CDTF">2020-02-20T15:07:00Z</dcterms:modified>
</cp:coreProperties>
</file>