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7A" w:rsidRPr="001D1DB0" w:rsidRDefault="00E0687A" w:rsidP="00E0687A">
      <w:pPr>
        <w:jc w:val="center"/>
        <w:rPr>
          <w:rFonts w:ascii="Times New Roman" w:hAnsi="Times New Roman" w:cs="Times New Roman"/>
          <w:b/>
          <w:i/>
          <w:sz w:val="36"/>
          <w:szCs w:val="28"/>
        </w:rPr>
      </w:pPr>
      <w:proofErr w:type="spellStart"/>
      <w:r>
        <w:rPr>
          <w:rFonts w:ascii="Times New Roman" w:hAnsi="Times New Roman" w:cs="Times New Roman"/>
          <w:b/>
          <w:sz w:val="36"/>
          <w:szCs w:val="28"/>
        </w:rPr>
        <w:t>Guineagrass</w:t>
      </w:r>
      <w:proofErr w:type="spellEnd"/>
      <w:r w:rsidRPr="001D1DB0">
        <w:rPr>
          <w:rFonts w:ascii="Times New Roman" w:hAnsi="Times New Roman" w:cs="Times New Roman"/>
          <w:b/>
          <w:sz w:val="36"/>
          <w:szCs w:val="28"/>
        </w:rPr>
        <w:t xml:space="preserve"> </w:t>
      </w:r>
      <w:r w:rsidRPr="00E40279">
        <w:rPr>
          <w:rFonts w:ascii="Times New Roman" w:hAnsi="Times New Roman" w:cs="Times New Roman"/>
          <w:b/>
          <w:sz w:val="36"/>
          <w:szCs w:val="28"/>
        </w:rPr>
        <w:t>(</w:t>
      </w:r>
      <w:proofErr w:type="spellStart"/>
      <w:r>
        <w:rPr>
          <w:rFonts w:ascii="Times New Roman" w:hAnsi="Times New Roman" w:cs="Times New Roman"/>
          <w:b/>
          <w:i/>
          <w:sz w:val="36"/>
          <w:szCs w:val="28"/>
        </w:rPr>
        <w:t>Panicum</w:t>
      </w:r>
      <w:proofErr w:type="spellEnd"/>
      <w:r>
        <w:rPr>
          <w:rFonts w:ascii="Times New Roman" w:hAnsi="Times New Roman" w:cs="Times New Roman"/>
          <w:b/>
          <w:i/>
          <w:sz w:val="36"/>
          <w:szCs w:val="28"/>
        </w:rPr>
        <w:t xml:space="preserve"> maximum</w:t>
      </w:r>
      <w:r w:rsidRPr="00E40279">
        <w:rPr>
          <w:rFonts w:ascii="Times New Roman" w:hAnsi="Times New Roman" w:cs="Times New Roman"/>
          <w:b/>
          <w:sz w:val="36"/>
          <w:szCs w:val="28"/>
        </w:rPr>
        <w:t>)</w:t>
      </w:r>
    </w:p>
    <w:p w:rsidR="00E0687A" w:rsidRDefault="00E0687A" w:rsidP="00E0687A">
      <w:pPr>
        <w:spacing w:after="120"/>
        <w:jc w:val="center"/>
        <w:rPr>
          <w:b/>
          <w:sz w:val="28"/>
          <w:szCs w:val="24"/>
        </w:rPr>
      </w:pPr>
      <w:r w:rsidRPr="001D1DB0">
        <w:rPr>
          <w:b/>
          <w:sz w:val="28"/>
          <w:szCs w:val="24"/>
        </w:rPr>
        <w:t>Brief history of occurrence in NATL</w:t>
      </w:r>
    </w:p>
    <w:p w:rsidR="000453C5" w:rsidRPr="00E40279" w:rsidRDefault="006315D1" w:rsidP="00520BEB">
      <w:pPr>
        <w:spacing w:after="240"/>
        <w:rPr>
          <w:b/>
          <w:sz w:val="24"/>
          <w:szCs w:val="24"/>
        </w:rPr>
      </w:pPr>
      <w:proofErr w:type="spellStart"/>
      <w:r w:rsidRPr="00E40279">
        <w:rPr>
          <w:sz w:val="24"/>
          <w:szCs w:val="24"/>
        </w:rPr>
        <w:t>Guineagrass</w:t>
      </w:r>
      <w:proofErr w:type="spellEnd"/>
      <w:r w:rsidRPr="00E40279">
        <w:rPr>
          <w:sz w:val="24"/>
          <w:szCs w:val="24"/>
        </w:rPr>
        <w:t xml:space="preserve"> was almost surely introduced by the Agronomy Department at a time when it was testing new grasses for forages and processing samples taken from the test plots in what is now </w:t>
      </w:r>
      <w:r w:rsidR="002205D3" w:rsidRPr="00E40279">
        <w:rPr>
          <w:sz w:val="24"/>
          <w:szCs w:val="24"/>
        </w:rPr>
        <w:t xml:space="preserve">the depression in Old Field Plot B.  Its occurrence was not recorded in 1995 by the </w:t>
      </w:r>
      <w:hyperlink r:id="rId5" w:history="1">
        <w:r w:rsidR="002205D3" w:rsidRPr="00E40279">
          <w:rPr>
            <w:rStyle w:val="Hyperlink"/>
            <w:sz w:val="24"/>
            <w:szCs w:val="24"/>
          </w:rPr>
          <w:t xml:space="preserve">Cooperative </w:t>
        </w:r>
        <w:proofErr w:type="spellStart"/>
        <w:r w:rsidR="002205D3" w:rsidRPr="00E40279">
          <w:rPr>
            <w:rStyle w:val="Hyperlink"/>
            <w:sz w:val="24"/>
            <w:szCs w:val="24"/>
          </w:rPr>
          <w:t>Florula</w:t>
        </w:r>
        <w:proofErr w:type="spellEnd"/>
        <w:r w:rsidR="002205D3" w:rsidRPr="00E40279">
          <w:rPr>
            <w:rStyle w:val="Hyperlink"/>
            <w:sz w:val="24"/>
            <w:szCs w:val="24"/>
          </w:rPr>
          <w:t xml:space="preserve"> Project</w:t>
        </w:r>
      </w:hyperlink>
      <w:r w:rsidR="002205D3" w:rsidRPr="00E40279">
        <w:rPr>
          <w:sz w:val="24"/>
          <w:szCs w:val="24"/>
        </w:rPr>
        <w:t xml:space="preserve">, probably because NATL’s old field area was mostly a dense stand of Johnsongrass.  In 2000 and 2003, after the Johnsongrass was under control, Dan Ward noted in his </w:t>
      </w:r>
      <w:hyperlink r:id="rId6" w:history="1">
        <w:r w:rsidRPr="00E40279">
          <w:rPr>
            <w:rStyle w:val="Hyperlink"/>
            <w:sz w:val="24"/>
            <w:szCs w:val="24"/>
          </w:rPr>
          <w:t>Plant Inventory</w:t>
        </w:r>
      </w:hyperlink>
      <w:r w:rsidR="002205D3" w:rsidRPr="00E40279">
        <w:rPr>
          <w:sz w:val="24"/>
          <w:szCs w:val="24"/>
        </w:rPr>
        <w:t xml:space="preserve"> that it was frequent </w:t>
      </w:r>
      <w:r w:rsidR="00FA4BF6" w:rsidRPr="00E40279">
        <w:rPr>
          <w:sz w:val="24"/>
          <w:szCs w:val="24"/>
        </w:rPr>
        <w:t>in old field succession.  After 2005, as</w:t>
      </w:r>
      <w:r w:rsidR="002205D3" w:rsidRPr="00E40279">
        <w:rPr>
          <w:sz w:val="24"/>
          <w:szCs w:val="24"/>
        </w:rPr>
        <w:t xml:space="preserve"> control of invasive grasses in </w:t>
      </w:r>
      <w:r w:rsidR="00FA4BF6" w:rsidRPr="00E40279">
        <w:rPr>
          <w:sz w:val="24"/>
          <w:szCs w:val="24"/>
        </w:rPr>
        <w:t xml:space="preserve">the </w:t>
      </w:r>
      <w:r w:rsidR="002205D3" w:rsidRPr="00E40279">
        <w:rPr>
          <w:sz w:val="24"/>
          <w:szCs w:val="24"/>
        </w:rPr>
        <w:t xml:space="preserve">old </w:t>
      </w:r>
      <w:r w:rsidR="00FA4BF6" w:rsidRPr="00E40279">
        <w:rPr>
          <w:sz w:val="24"/>
          <w:szCs w:val="24"/>
        </w:rPr>
        <w:t>field continued</w:t>
      </w:r>
      <w:r w:rsidR="004C1A11" w:rsidRPr="00E40279">
        <w:rPr>
          <w:sz w:val="24"/>
          <w:szCs w:val="24"/>
        </w:rPr>
        <w:t>,</w:t>
      </w:r>
      <w:r w:rsidR="00FA4BF6" w:rsidRPr="00E40279">
        <w:rPr>
          <w:sz w:val="24"/>
          <w:szCs w:val="24"/>
        </w:rPr>
        <w:t xml:space="preserve"> it was discovered that two </w:t>
      </w:r>
      <w:r w:rsidR="004C1A11" w:rsidRPr="00E40279">
        <w:rPr>
          <w:sz w:val="24"/>
          <w:szCs w:val="24"/>
        </w:rPr>
        <w:t xml:space="preserve">easily distinguished grasses had been identified as </w:t>
      </w:r>
      <w:proofErr w:type="spellStart"/>
      <w:r w:rsidR="004C1A11" w:rsidRPr="00E40279">
        <w:rPr>
          <w:i/>
          <w:sz w:val="24"/>
          <w:szCs w:val="24"/>
        </w:rPr>
        <w:t>Panicum</w:t>
      </w:r>
      <w:proofErr w:type="spellEnd"/>
      <w:r w:rsidR="004C1A11" w:rsidRPr="00E40279">
        <w:rPr>
          <w:i/>
          <w:sz w:val="24"/>
          <w:szCs w:val="24"/>
        </w:rPr>
        <w:t xml:space="preserve"> maximum</w:t>
      </w:r>
      <w:r w:rsidR="004C1A11" w:rsidRPr="00E40279">
        <w:rPr>
          <w:sz w:val="24"/>
          <w:szCs w:val="24"/>
        </w:rPr>
        <w:t>.  One of these was superficially like Johnsongrass and the other tended to grow in discrete clumps and had broader leaves.  The latter one has been eliminated or nearly so.  Its taxon</w:t>
      </w:r>
      <w:r w:rsidR="00C34F9A" w:rsidRPr="00E40279">
        <w:rPr>
          <w:sz w:val="24"/>
          <w:szCs w:val="24"/>
        </w:rPr>
        <w:t xml:space="preserve">omic status needs clarification: it may be a variety of </w:t>
      </w:r>
      <w:proofErr w:type="spellStart"/>
      <w:r w:rsidR="00C34F9A" w:rsidRPr="00E40279">
        <w:rPr>
          <w:sz w:val="24"/>
          <w:szCs w:val="24"/>
        </w:rPr>
        <w:t>Guineagrass</w:t>
      </w:r>
      <w:proofErr w:type="spellEnd"/>
      <w:r w:rsidR="00C34F9A" w:rsidRPr="00E40279">
        <w:rPr>
          <w:sz w:val="24"/>
          <w:szCs w:val="24"/>
        </w:rPr>
        <w:t xml:space="preserve"> or a </w:t>
      </w:r>
      <w:r w:rsidR="00E40279" w:rsidRPr="00E40279">
        <w:rPr>
          <w:sz w:val="24"/>
          <w:szCs w:val="24"/>
        </w:rPr>
        <w:t>distinct</w:t>
      </w:r>
      <w:r w:rsidR="00C34F9A" w:rsidRPr="00E40279">
        <w:rPr>
          <w:sz w:val="24"/>
          <w:szCs w:val="24"/>
        </w:rPr>
        <w:t xml:space="preserve"> species.  The importance of </w:t>
      </w:r>
      <w:proofErr w:type="spellStart"/>
      <w:r w:rsidR="00C34F9A" w:rsidRPr="00E40279">
        <w:rPr>
          <w:sz w:val="24"/>
          <w:szCs w:val="24"/>
        </w:rPr>
        <w:t>Guineagrass</w:t>
      </w:r>
      <w:proofErr w:type="spellEnd"/>
      <w:r w:rsidR="00C34F9A" w:rsidRPr="00E40279">
        <w:rPr>
          <w:sz w:val="24"/>
          <w:szCs w:val="24"/>
        </w:rPr>
        <w:t xml:space="preserve"> in NATL is no longer as an old field invasive but as an unwelcomed, perhaps invasive, grass in restored upland pine.  </w:t>
      </w:r>
      <w:proofErr w:type="spellStart"/>
      <w:r w:rsidR="000453C5" w:rsidRPr="00E40279">
        <w:rPr>
          <w:sz w:val="24"/>
          <w:szCs w:val="24"/>
        </w:rPr>
        <w:t>Guineagrass</w:t>
      </w:r>
      <w:proofErr w:type="spellEnd"/>
      <w:r w:rsidR="000453C5" w:rsidRPr="00E40279">
        <w:rPr>
          <w:sz w:val="24"/>
          <w:szCs w:val="24"/>
        </w:rPr>
        <w:t xml:space="preserve"> is classified as a Category I</w:t>
      </w:r>
      <w:r w:rsidRPr="00E40279">
        <w:rPr>
          <w:sz w:val="24"/>
          <w:szCs w:val="24"/>
        </w:rPr>
        <w:t>I</w:t>
      </w:r>
      <w:r w:rsidR="000453C5" w:rsidRPr="00E40279">
        <w:rPr>
          <w:sz w:val="24"/>
          <w:szCs w:val="24"/>
        </w:rPr>
        <w:t xml:space="preserve"> invasive in </w:t>
      </w:r>
      <w:hyperlink r:id="rId7" w:history="1">
        <w:r w:rsidR="000453C5" w:rsidRPr="00E40279">
          <w:rPr>
            <w:rStyle w:val="Hyperlink"/>
            <w:sz w:val="24"/>
            <w:szCs w:val="24"/>
          </w:rPr>
          <w:t>FLEPPC’s 2011 List</w:t>
        </w:r>
      </w:hyperlink>
      <w:r w:rsidR="000453C5" w:rsidRPr="00E40279">
        <w:rPr>
          <w:sz w:val="24"/>
          <w:szCs w:val="24"/>
        </w:rPr>
        <w:t>.</w:t>
      </w:r>
    </w:p>
    <w:p w:rsidR="00E0687A" w:rsidRPr="001D1DB0" w:rsidRDefault="00E0687A" w:rsidP="00520BEB">
      <w:pPr>
        <w:spacing w:after="120"/>
        <w:jc w:val="center"/>
        <w:rPr>
          <w:b/>
          <w:sz w:val="28"/>
          <w:szCs w:val="24"/>
        </w:rPr>
      </w:pPr>
      <w:r w:rsidRPr="001D1DB0">
        <w:rPr>
          <w:b/>
          <w:sz w:val="28"/>
          <w:szCs w:val="24"/>
        </w:rPr>
        <w:t>Ethan’s synopsis of sites mapped and treatments applied</w:t>
      </w:r>
    </w:p>
    <w:p w:rsidR="00E0687A" w:rsidRDefault="00E0687A" w:rsidP="00E0687A">
      <w:pPr>
        <w:spacing w:line="240" w:lineRule="auto"/>
        <w:rPr>
          <w:sz w:val="20"/>
          <w:szCs w:val="20"/>
        </w:rPr>
      </w:pPr>
      <w:r>
        <w:rPr>
          <w:sz w:val="20"/>
          <w:szCs w:val="24"/>
        </w:rPr>
        <w:t xml:space="preserve">A site discovered and treated before May 2011 from which the species was eradicated is referred to as a </w:t>
      </w:r>
      <w:r w:rsidRPr="003B2FAF">
        <w:rPr>
          <w:b/>
          <w:sz w:val="20"/>
          <w:szCs w:val="24"/>
        </w:rPr>
        <w:t>legacy site</w:t>
      </w:r>
      <w:r>
        <w:rPr>
          <w:sz w:val="20"/>
          <w:szCs w:val="24"/>
        </w:rPr>
        <w:t xml:space="preserve"> and is indicated on the species’ map by a </w:t>
      </w:r>
      <w:r>
        <w:rPr>
          <w:sz w:val="20"/>
          <w:szCs w:val="24"/>
          <w:u w:val="single"/>
        </w:rPr>
        <w:t>triangle</w:t>
      </w:r>
      <w:r>
        <w:rPr>
          <w:sz w:val="20"/>
          <w:szCs w:val="24"/>
        </w:rPr>
        <w:t xml:space="preserve">.  If the species was not eradicated from the site, the site is an </w:t>
      </w:r>
      <w:r>
        <w:rPr>
          <w:b/>
          <w:sz w:val="20"/>
          <w:szCs w:val="24"/>
        </w:rPr>
        <w:t>old active site</w:t>
      </w:r>
      <w:r>
        <w:rPr>
          <w:sz w:val="20"/>
          <w:szCs w:val="24"/>
        </w:rPr>
        <w:t xml:space="preserve">, has been regularly monitored since then, and is indicated on the map by an </w:t>
      </w:r>
      <w:r>
        <w:rPr>
          <w:sz w:val="20"/>
          <w:szCs w:val="24"/>
          <w:u w:val="single"/>
        </w:rPr>
        <w:t>open circ</w:t>
      </w:r>
      <w:r w:rsidRPr="00EB46FF">
        <w:rPr>
          <w:sz w:val="20"/>
          <w:szCs w:val="24"/>
          <w:u w:val="single"/>
        </w:rPr>
        <w:t>le</w:t>
      </w:r>
      <w:r>
        <w:rPr>
          <w:sz w:val="20"/>
          <w:szCs w:val="24"/>
        </w:rPr>
        <w:t xml:space="preserve">.  A site that was discovered after May 2011 is a </w:t>
      </w:r>
      <w:r>
        <w:rPr>
          <w:b/>
          <w:sz w:val="20"/>
          <w:szCs w:val="24"/>
        </w:rPr>
        <w:t xml:space="preserve">new active </w:t>
      </w:r>
      <w:r w:rsidRPr="00EB46FF">
        <w:rPr>
          <w:b/>
          <w:sz w:val="20"/>
          <w:szCs w:val="24"/>
        </w:rPr>
        <w:t>site</w:t>
      </w:r>
      <w:r>
        <w:rPr>
          <w:sz w:val="20"/>
          <w:szCs w:val="24"/>
        </w:rPr>
        <w:t xml:space="preserve"> and is indicated on the map with a </w:t>
      </w:r>
      <w:r w:rsidRPr="00EB46FF">
        <w:rPr>
          <w:sz w:val="20"/>
          <w:szCs w:val="24"/>
          <w:u w:val="single"/>
        </w:rPr>
        <w:t>filled circle</w:t>
      </w:r>
      <w:r>
        <w:rPr>
          <w:sz w:val="20"/>
          <w:szCs w:val="24"/>
        </w:rPr>
        <w:t xml:space="preserve">. </w:t>
      </w:r>
    </w:p>
    <w:p w:rsidR="00E0687A" w:rsidRPr="009F46F5" w:rsidRDefault="00E0687A" w:rsidP="00E0687A">
      <w:pPr>
        <w:spacing w:after="0"/>
        <w:rPr>
          <w:b/>
          <w:sz w:val="24"/>
          <w:szCs w:val="24"/>
        </w:rPr>
      </w:pPr>
      <w:r>
        <w:rPr>
          <w:b/>
          <w:sz w:val="24"/>
          <w:szCs w:val="24"/>
        </w:rPr>
        <w:t>Legacy</w:t>
      </w:r>
      <w:r w:rsidRPr="009E3D97">
        <w:rPr>
          <w:b/>
          <w:sz w:val="24"/>
          <w:szCs w:val="24"/>
        </w:rPr>
        <w:t xml:space="preserve"> Sites</w:t>
      </w:r>
      <w:r>
        <w:rPr>
          <w:b/>
          <w:sz w:val="24"/>
          <w:szCs w:val="24"/>
        </w:rPr>
        <w:t xml:space="preserve"> </w:t>
      </w:r>
    </w:p>
    <w:p w:rsidR="00B55967" w:rsidRDefault="005712C7" w:rsidP="00B55967">
      <w:pPr>
        <w:spacing w:after="120"/>
        <w:rPr>
          <w:sz w:val="24"/>
          <w:szCs w:val="24"/>
        </w:rPr>
      </w:pPr>
      <w:r>
        <w:rPr>
          <w:sz w:val="24"/>
          <w:szCs w:val="24"/>
        </w:rPr>
        <w:t>Effort to control did not begin until 2011.</w:t>
      </w:r>
    </w:p>
    <w:p w:rsidR="00E0687A" w:rsidRDefault="00CF462C" w:rsidP="00B55967">
      <w:pPr>
        <w:spacing w:after="0"/>
        <w:rPr>
          <w:sz w:val="24"/>
          <w:szCs w:val="24"/>
        </w:rPr>
      </w:pPr>
      <w:r>
        <w:rPr>
          <w:b/>
          <w:sz w:val="24"/>
          <w:szCs w:val="24"/>
        </w:rPr>
        <w:t>New</w:t>
      </w:r>
      <w:r w:rsidR="00E0687A" w:rsidRPr="000B0709">
        <w:rPr>
          <w:b/>
          <w:sz w:val="24"/>
          <w:szCs w:val="24"/>
        </w:rPr>
        <w:t xml:space="preserve"> Activ</w:t>
      </w:r>
      <w:r w:rsidR="00E0687A">
        <w:rPr>
          <w:b/>
          <w:sz w:val="24"/>
          <w:szCs w:val="24"/>
        </w:rPr>
        <w:t>e Sites</w:t>
      </w:r>
    </w:p>
    <w:p w:rsidR="00E0687A" w:rsidRDefault="00CF462C" w:rsidP="00CF462C">
      <w:pPr>
        <w:pStyle w:val="ListParagraph"/>
        <w:numPr>
          <w:ilvl w:val="0"/>
          <w:numId w:val="2"/>
        </w:numPr>
        <w:spacing w:after="0"/>
        <w:rPr>
          <w:sz w:val="24"/>
          <w:szCs w:val="24"/>
        </w:rPr>
      </w:pPr>
      <w:r>
        <w:rPr>
          <w:sz w:val="24"/>
          <w:szCs w:val="24"/>
        </w:rPr>
        <w:t>C</w:t>
      </w:r>
      <w:r w:rsidR="00E0687A">
        <w:rPr>
          <w:sz w:val="24"/>
          <w:szCs w:val="24"/>
        </w:rPr>
        <w:t xml:space="preserve">ombination of spraying and pulling in </w:t>
      </w:r>
      <w:proofErr w:type="spellStart"/>
      <w:r w:rsidR="00E0687A">
        <w:rPr>
          <w:sz w:val="24"/>
          <w:szCs w:val="24"/>
        </w:rPr>
        <w:t>nPAP</w:t>
      </w:r>
      <w:proofErr w:type="spellEnd"/>
      <w:r w:rsidRPr="00CF462C">
        <w:rPr>
          <w:sz w:val="24"/>
          <w:szCs w:val="24"/>
        </w:rPr>
        <w:t xml:space="preserve"> </w:t>
      </w:r>
      <w:r>
        <w:rPr>
          <w:sz w:val="24"/>
          <w:szCs w:val="24"/>
        </w:rPr>
        <w:t>in July 2011</w:t>
      </w:r>
      <w:r w:rsidR="00E0687A">
        <w:rPr>
          <w:sz w:val="24"/>
          <w:szCs w:val="24"/>
        </w:rPr>
        <w:t>.</w:t>
      </w:r>
    </w:p>
    <w:p w:rsidR="00CF462C" w:rsidRDefault="00CF462C" w:rsidP="00CF462C">
      <w:pPr>
        <w:pStyle w:val="ListParagraph"/>
        <w:numPr>
          <w:ilvl w:val="0"/>
          <w:numId w:val="2"/>
        </w:numPr>
        <w:spacing w:after="0"/>
        <w:rPr>
          <w:sz w:val="24"/>
          <w:szCs w:val="24"/>
        </w:rPr>
      </w:pPr>
      <w:r>
        <w:rPr>
          <w:sz w:val="24"/>
          <w:szCs w:val="24"/>
        </w:rPr>
        <w:t>Sprayed all plants found in the old-field plots in August 2011.</w:t>
      </w:r>
    </w:p>
    <w:p w:rsidR="00D870E0" w:rsidRPr="00D870E0" w:rsidRDefault="00CF462C" w:rsidP="00D870E0">
      <w:pPr>
        <w:pStyle w:val="ListParagraph"/>
        <w:numPr>
          <w:ilvl w:val="0"/>
          <w:numId w:val="2"/>
        </w:numPr>
        <w:spacing w:after="120"/>
        <w:contextualSpacing w:val="0"/>
        <w:rPr>
          <w:sz w:val="24"/>
          <w:szCs w:val="24"/>
        </w:rPr>
      </w:pPr>
      <w:r w:rsidRPr="00D870E0">
        <w:rPr>
          <w:sz w:val="24"/>
          <w:szCs w:val="24"/>
        </w:rPr>
        <w:t xml:space="preserve">Small patch sprayed along Division Trail across from </w:t>
      </w:r>
      <w:proofErr w:type="spellStart"/>
      <w:r w:rsidRPr="00D870E0">
        <w:rPr>
          <w:sz w:val="24"/>
          <w:szCs w:val="24"/>
        </w:rPr>
        <w:t>sPAP</w:t>
      </w:r>
      <w:proofErr w:type="spellEnd"/>
      <w:r w:rsidR="00D870E0" w:rsidRPr="00D870E0">
        <w:rPr>
          <w:sz w:val="24"/>
          <w:szCs w:val="24"/>
        </w:rPr>
        <w:t xml:space="preserve"> in June 2012</w:t>
      </w:r>
      <w:r w:rsidRPr="00D870E0">
        <w:rPr>
          <w:sz w:val="24"/>
          <w:szCs w:val="24"/>
        </w:rPr>
        <w:t xml:space="preserve">. </w:t>
      </w:r>
    </w:p>
    <w:p w:rsidR="00F23DC2" w:rsidRPr="001D1DB0" w:rsidRDefault="00F23DC2" w:rsidP="00D870E0">
      <w:pPr>
        <w:tabs>
          <w:tab w:val="left" w:pos="1455"/>
        </w:tabs>
        <w:spacing w:after="120"/>
        <w:jc w:val="center"/>
        <w:rPr>
          <w:b/>
          <w:sz w:val="28"/>
          <w:szCs w:val="24"/>
        </w:rPr>
      </w:pPr>
      <w:r>
        <w:rPr>
          <w:b/>
          <w:sz w:val="28"/>
          <w:szCs w:val="24"/>
        </w:rPr>
        <w:t>Current herbicidal control used</w:t>
      </w:r>
      <w:r w:rsidRPr="001D1DB0">
        <w:rPr>
          <w:b/>
          <w:sz w:val="28"/>
          <w:szCs w:val="24"/>
        </w:rPr>
        <w:t xml:space="preserve"> in NATL</w:t>
      </w:r>
    </w:p>
    <w:p w:rsidR="00F23DC2" w:rsidRDefault="00155368" w:rsidP="00F23DC2">
      <w:r>
        <w:t>Spray 2</w:t>
      </w:r>
      <w:r w:rsidR="00F23DC2">
        <w:t xml:space="preserve">% glyphosate on all foliage.   Details of formulation are at </w:t>
      </w:r>
      <w:hyperlink r:id="rId8" w:history="1">
        <w:r w:rsidR="00F23DC2" w:rsidRPr="004060F5">
          <w:rPr>
            <w:rStyle w:val="Hyperlink"/>
          </w:rPr>
          <w:t>Treatment Mixes</w:t>
        </w:r>
      </w:hyperlink>
      <w:r w:rsidR="00F23DC2">
        <w:t>.</w:t>
      </w:r>
    </w:p>
    <w:sectPr w:rsidR="00F23DC2" w:rsidSect="00A7660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B282E"/>
    <w:multiLevelType w:val="hybridMultilevel"/>
    <w:tmpl w:val="9962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43D9A"/>
    <w:multiLevelType w:val="hybridMultilevel"/>
    <w:tmpl w:val="D77E8ECE"/>
    <w:lvl w:ilvl="0" w:tplc="1FB251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687A"/>
    <w:rsid w:val="000453C5"/>
    <w:rsid w:val="000C727B"/>
    <w:rsid w:val="00155368"/>
    <w:rsid w:val="001D0C3B"/>
    <w:rsid w:val="002205D3"/>
    <w:rsid w:val="004C1A11"/>
    <w:rsid w:val="00520BEB"/>
    <w:rsid w:val="00522FF3"/>
    <w:rsid w:val="005712C7"/>
    <w:rsid w:val="006315D1"/>
    <w:rsid w:val="00A7660D"/>
    <w:rsid w:val="00AA40E2"/>
    <w:rsid w:val="00AD0135"/>
    <w:rsid w:val="00B2598B"/>
    <w:rsid w:val="00B55967"/>
    <w:rsid w:val="00BD71A0"/>
    <w:rsid w:val="00C34F9A"/>
    <w:rsid w:val="00CF462C"/>
    <w:rsid w:val="00D870E0"/>
    <w:rsid w:val="00DC3C00"/>
    <w:rsid w:val="00E0687A"/>
    <w:rsid w:val="00E40279"/>
    <w:rsid w:val="00F23DC2"/>
    <w:rsid w:val="00FA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7A"/>
    <w:pPr>
      <w:ind w:left="720"/>
      <w:contextualSpacing/>
    </w:pPr>
  </w:style>
  <w:style w:type="character" w:styleId="Hyperlink">
    <w:name w:val="Hyperlink"/>
    <w:basedOn w:val="DefaultParagraphFont"/>
    <w:uiPriority w:val="99"/>
    <w:semiHidden/>
    <w:unhideWhenUsed/>
    <w:rsid w:val="00E06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NATLmixes.htm" TargetMode="External"/><Relationship Id="rId3" Type="http://schemas.openxmlformats.org/officeDocument/2006/relationships/settings" Target="settings.xml"/><Relationship Id="rId7" Type="http://schemas.openxmlformats.org/officeDocument/2006/relationships/hyperlink" Target="http://www.fleppc.org/list/11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l.ifas.ufl.edu/WardLists.htm" TargetMode="External"/><Relationship Id="rId5" Type="http://schemas.openxmlformats.org/officeDocument/2006/relationships/hyperlink" Target="http://natl.ifas.ufl.edu/1995list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 Lab</dc:creator>
  <cp:keywords/>
  <dc:description/>
  <cp:lastModifiedBy>Walker's Lab</cp:lastModifiedBy>
  <cp:revision>10</cp:revision>
  <cp:lastPrinted>2012-05-24T21:17:00Z</cp:lastPrinted>
  <dcterms:created xsi:type="dcterms:W3CDTF">2012-05-02T15:51:00Z</dcterms:created>
  <dcterms:modified xsi:type="dcterms:W3CDTF">2012-06-04T16:49:00Z</dcterms:modified>
</cp:coreProperties>
</file>