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DA" w:rsidRPr="001275CF" w:rsidRDefault="003A46D8" w:rsidP="003F32D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Negundo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Chastet</w:t>
      </w:r>
      <w:r w:rsidR="003F32DA" w:rsidRPr="001275CF">
        <w:rPr>
          <w:rFonts w:ascii="Times New Roman" w:hAnsi="Times New Roman" w:cs="Times New Roman"/>
          <w:b/>
          <w:sz w:val="36"/>
          <w:szCs w:val="36"/>
        </w:rPr>
        <w:t>ree</w:t>
      </w:r>
      <w:proofErr w:type="spellEnd"/>
      <w:r w:rsidR="003F32DA" w:rsidRPr="001275C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F32DA" w:rsidRPr="00616AE7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r w:rsidR="003F32DA" w:rsidRPr="001275CF">
        <w:rPr>
          <w:rFonts w:ascii="Times New Roman" w:hAnsi="Times New Roman" w:cs="Times New Roman"/>
          <w:b/>
          <w:i/>
          <w:sz w:val="36"/>
          <w:szCs w:val="36"/>
        </w:rPr>
        <w:t>Vitex</w:t>
      </w:r>
      <w:proofErr w:type="spellEnd"/>
      <w:r w:rsidR="003F32DA" w:rsidRPr="001275C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3F32DA" w:rsidRPr="001275CF">
        <w:rPr>
          <w:rFonts w:ascii="Times New Roman" w:hAnsi="Times New Roman" w:cs="Times New Roman"/>
          <w:b/>
          <w:i/>
          <w:sz w:val="36"/>
          <w:szCs w:val="36"/>
        </w:rPr>
        <w:t>negundo</w:t>
      </w:r>
      <w:proofErr w:type="spellEnd"/>
      <w:r w:rsidR="003F32DA" w:rsidRPr="00616AE7">
        <w:rPr>
          <w:rFonts w:ascii="Times New Roman" w:hAnsi="Times New Roman" w:cs="Times New Roman"/>
          <w:b/>
          <w:sz w:val="36"/>
          <w:szCs w:val="36"/>
        </w:rPr>
        <w:t>)</w:t>
      </w:r>
    </w:p>
    <w:p w:rsidR="007767EE" w:rsidRDefault="007767EE" w:rsidP="00242962">
      <w:pPr>
        <w:tabs>
          <w:tab w:val="left" w:pos="1545"/>
        </w:tabs>
        <w:spacing w:after="120"/>
        <w:jc w:val="center"/>
        <w:rPr>
          <w:b/>
          <w:sz w:val="28"/>
          <w:szCs w:val="28"/>
        </w:rPr>
      </w:pPr>
      <w:r w:rsidRPr="008A23E9">
        <w:rPr>
          <w:b/>
          <w:sz w:val="28"/>
          <w:szCs w:val="28"/>
        </w:rPr>
        <w:t>Brief history of occurrence in NATL</w:t>
      </w:r>
    </w:p>
    <w:p w:rsidR="007767EE" w:rsidRDefault="003A46D8" w:rsidP="007767EE">
      <w:p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Negundo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Chastet</w:t>
      </w:r>
      <w:r w:rsidR="007767EE">
        <w:rPr>
          <w:sz w:val="24"/>
          <w:szCs w:val="24"/>
        </w:rPr>
        <w:t>ree</w:t>
      </w:r>
      <w:proofErr w:type="spellEnd"/>
      <w:r w:rsidR="007767EE">
        <w:rPr>
          <w:sz w:val="24"/>
          <w:szCs w:val="24"/>
        </w:rPr>
        <w:t xml:space="preserve"> was first reported in NATL in 2000 and 2003 by Dan Ward in his </w:t>
      </w:r>
      <w:hyperlink r:id="rId5" w:history="1">
        <w:r w:rsidR="007767EE">
          <w:rPr>
            <w:rStyle w:val="Hyperlink"/>
            <w:sz w:val="24"/>
            <w:szCs w:val="24"/>
          </w:rPr>
          <w:t>Plant Inventory</w:t>
        </w:r>
      </w:hyperlink>
      <w:r w:rsidR="007767EE">
        <w:rPr>
          <w:sz w:val="24"/>
          <w:szCs w:val="24"/>
        </w:rPr>
        <w:t>, where he listed it as “</w:t>
      </w:r>
      <w:r w:rsidR="007767EE">
        <w:t>Rare; pinelands (I5, E7).”</w:t>
      </w:r>
      <w:r w:rsidR="007767EE">
        <w:rPr>
          <w:sz w:val="24"/>
          <w:szCs w:val="24"/>
        </w:rPr>
        <w:t xml:space="preserve">  It is not known to occur in NATL-east.</w:t>
      </w:r>
      <w:r w:rsidR="00A60270">
        <w:rPr>
          <w:sz w:val="24"/>
          <w:szCs w:val="24"/>
        </w:rPr>
        <w:t xml:space="preserve">  The species not listed as an invasive in </w:t>
      </w:r>
      <w:hyperlink r:id="rId6" w:history="1">
        <w:r w:rsidR="00A60270">
          <w:rPr>
            <w:rStyle w:val="Hyperlink"/>
            <w:sz w:val="24"/>
            <w:szCs w:val="24"/>
          </w:rPr>
          <w:t>FLEPPC’s 2011 List</w:t>
        </w:r>
      </w:hyperlink>
      <w:r w:rsidR="00A60270">
        <w:rPr>
          <w:sz w:val="24"/>
          <w:szCs w:val="24"/>
        </w:rPr>
        <w:t>.</w:t>
      </w:r>
    </w:p>
    <w:p w:rsidR="00AA37BA" w:rsidRPr="00616AE7" w:rsidRDefault="00AA37BA" w:rsidP="00616AE7">
      <w:pPr>
        <w:tabs>
          <w:tab w:val="left" w:pos="1545"/>
        </w:tabs>
        <w:spacing w:after="240"/>
        <w:jc w:val="center"/>
        <w:rPr>
          <w:b/>
          <w:sz w:val="28"/>
          <w:szCs w:val="28"/>
        </w:rPr>
      </w:pPr>
      <w:r w:rsidRPr="00616AE7">
        <w:rPr>
          <w:b/>
          <w:sz w:val="28"/>
          <w:szCs w:val="28"/>
        </w:rPr>
        <w:t>Ethan’s synopsis of the sites mapped and treatments applied</w:t>
      </w:r>
    </w:p>
    <w:p w:rsidR="001275CF" w:rsidRPr="00C870AE" w:rsidRDefault="001275CF" w:rsidP="001275CF">
      <w:pPr>
        <w:spacing w:line="240" w:lineRule="auto"/>
        <w:rPr>
          <w:sz w:val="20"/>
          <w:szCs w:val="20"/>
        </w:rPr>
      </w:pPr>
      <w:r>
        <w:rPr>
          <w:sz w:val="20"/>
          <w:szCs w:val="24"/>
        </w:rPr>
        <w:t xml:space="preserve">A site discovered and treated before May 2011 from which the species was eradicated is referred to as a </w:t>
      </w:r>
      <w:r w:rsidRPr="003B2FAF">
        <w:rPr>
          <w:b/>
          <w:sz w:val="20"/>
          <w:szCs w:val="24"/>
        </w:rPr>
        <w:t>legacy site</w:t>
      </w:r>
      <w:r>
        <w:rPr>
          <w:sz w:val="20"/>
          <w:szCs w:val="24"/>
        </w:rPr>
        <w:t xml:space="preserve"> and is indicated on the species’ map by a </w:t>
      </w:r>
      <w:r>
        <w:rPr>
          <w:sz w:val="20"/>
          <w:szCs w:val="24"/>
          <w:u w:val="single"/>
        </w:rPr>
        <w:t>triangle</w:t>
      </w:r>
      <w:r>
        <w:rPr>
          <w:sz w:val="20"/>
          <w:szCs w:val="24"/>
        </w:rPr>
        <w:t xml:space="preserve">.  If the species was not eradicated from the site, the site is an </w:t>
      </w:r>
      <w:r>
        <w:rPr>
          <w:b/>
          <w:sz w:val="20"/>
          <w:szCs w:val="24"/>
        </w:rPr>
        <w:t>old active site</w:t>
      </w:r>
      <w:r>
        <w:rPr>
          <w:sz w:val="20"/>
          <w:szCs w:val="24"/>
        </w:rPr>
        <w:t xml:space="preserve">, has been regularly monitored since then, and is indicated on the map by an </w:t>
      </w:r>
      <w:r>
        <w:rPr>
          <w:sz w:val="20"/>
          <w:szCs w:val="24"/>
          <w:u w:val="single"/>
        </w:rPr>
        <w:t>open circ</w:t>
      </w:r>
      <w:r w:rsidRPr="00EB46FF">
        <w:rPr>
          <w:sz w:val="20"/>
          <w:szCs w:val="24"/>
          <w:u w:val="single"/>
        </w:rPr>
        <w:t>le</w:t>
      </w:r>
      <w:r>
        <w:rPr>
          <w:sz w:val="20"/>
          <w:szCs w:val="24"/>
        </w:rPr>
        <w:t xml:space="preserve">.  A site that was discovered after May 2011 is a </w:t>
      </w:r>
      <w:r>
        <w:rPr>
          <w:b/>
          <w:sz w:val="20"/>
          <w:szCs w:val="24"/>
        </w:rPr>
        <w:t xml:space="preserve">new active </w:t>
      </w:r>
      <w:r w:rsidRPr="00EB46FF">
        <w:rPr>
          <w:b/>
          <w:sz w:val="20"/>
          <w:szCs w:val="24"/>
        </w:rPr>
        <w:t>site</w:t>
      </w:r>
      <w:r>
        <w:rPr>
          <w:sz w:val="20"/>
          <w:szCs w:val="24"/>
        </w:rPr>
        <w:t xml:space="preserve"> and is indicated on the map with a </w:t>
      </w:r>
      <w:r w:rsidRPr="00EB46FF">
        <w:rPr>
          <w:sz w:val="20"/>
          <w:szCs w:val="24"/>
          <w:u w:val="single"/>
        </w:rPr>
        <w:t>filled circle</w:t>
      </w:r>
      <w:r>
        <w:rPr>
          <w:sz w:val="20"/>
          <w:szCs w:val="24"/>
        </w:rPr>
        <w:t xml:space="preserve">. </w:t>
      </w:r>
      <w:r>
        <w:rPr>
          <w:sz w:val="20"/>
          <w:szCs w:val="24"/>
        </w:rPr>
        <w:br/>
      </w:r>
      <w:r w:rsidRPr="00EB46FF">
        <w:rPr>
          <w:sz w:val="20"/>
          <w:szCs w:val="20"/>
        </w:rPr>
        <w:t>“Basal barked”</w:t>
      </w:r>
      <w:r>
        <w:rPr>
          <w:sz w:val="20"/>
          <w:szCs w:val="20"/>
        </w:rPr>
        <w:t xml:space="preserve"> means that 25% triclopyr in oil was applied to the trunk or cut stump.</w:t>
      </w:r>
    </w:p>
    <w:p w:rsidR="003F32DA" w:rsidRPr="009E3D97" w:rsidRDefault="001275CF" w:rsidP="001275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Legacy </w:t>
      </w:r>
      <w:r w:rsidR="003F32DA" w:rsidRPr="009E3D97">
        <w:rPr>
          <w:b/>
          <w:sz w:val="24"/>
          <w:szCs w:val="24"/>
        </w:rPr>
        <w:t>Sites</w:t>
      </w:r>
      <w:r>
        <w:rPr>
          <w:b/>
          <w:sz w:val="24"/>
          <w:szCs w:val="24"/>
        </w:rPr>
        <w:t xml:space="preserve"> </w:t>
      </w:r>
    </w:p>
    <w:p w:rsidR="003F32DA" w:rsidRDefault="003F32DA" w:rsidP="00616AE7">
      <w:pPr>
        <w:spacing w:after="120"/>
        <w:rPr>
          <w:sz w:val="24"/>
          <w:szCs w:val="24"/>
        </w:rPr>
      </w:pPr>
      <w:r w:rsidRPr="0093250C">
        <w:rPr>
          <w:sz w:val="24"/>
          <w:szCs w:val="24"/>
        </w:rPr>
        <w:t>None</w:t>
      </w:r>
      <w:r w:rsidR="004128A6">
        <w:rPr>
          <w:sz w:val="24"/>
          <w:szCs w:val="24"/>
        </w:rPr>
        <w:t>.</w:t>
      </w:r>
    </w:p>
    <w:p w:rsidR="003F32DA" w:rsidRDefault="003F32DA" w:rsidP="001275CF">
      <w:pPr>
        <w:spacing w:after="0"/>
        <w:rPr>
          <w:b/>
          <w:sz w:val="24"/>
          <w:szCs w:val="24"/>
        </w:rPr>
      </w:pPr>
      <w:r w:rsidRPr="000B0709">
        <w:rPr>
          <w:b/>
          <w:sz w:val="24"/>
          <w:szCs w:val="24"/>
        </w:rPr>
        <w:t>Old Activ</w:t>
      </w:r>
      <w:r>
        <w:rPr>
          <w:b/>
          <w:sz w:val="24"/>
          <w:szCs w:val="24"/>
        </w:rPr>
        <w:t>e Sites</w:t>
      </w:r>
    </w:p>
    <w:p w:rsidR="003F32DA" w:rsidRDefault="003F32DA" w:rsidP="003F32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December 2006, 2 separate clumps were basal barked just north of the main trail and west of the pavilion</w:t>
      </w:r>
      <w:r w:rsidR="002D00CE">
        <w:rPr>
          <w:sz w:val="24"/>
          <w:szCs w:val="24"/>
        </w:rPr>
        <w:t xml:space="preserve"> (I5.)</w:t>
      </w:r>
    </w:p>
    <w:p w:rsidR="002D00CE" w:rsidRDefault="002D00CE" w:rsidP="002D00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 the summer of 2007, Ken Prestwich basal barked the stems he could find alive.</w:t>
      </w:r>
    </w:p>
    <w:p w:rsidR="002D00CE" w:rsidRPr="002D00CE" w:rsidRDefault="002D00CE" w:rsidP="002D00CE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In July 2011, cut and basal barked 14 plants.</w:t>
      </w:r>
      <w:proofErr w:type="gramEnd"/>
    </w:p>
    <w:p w:rsidR="002D00CE" w:rsidRDefault="002D00CE" w:rsidP="002D00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November 2006, cut and applied Garlon 3A to the stumps of one clump in the southwest corner of block E7.</w:t>
      </w:r>
    </w:p>
    <w:p w:rsidR="002D00CE" w:rsidRDefault="002D00CE" w:rsidP="002D00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 December 2006, basal barked remaining live stems.</w:t>
      </w:r>
    </w:p>
    <w:p w:rsidR="002D00CE" w:rsidRDefault="002D00CE" w:rsidP="002D00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 December 2007, basal barked 1 live plant.</w:t>
      </w:r>
    </w:p>
    <w:p w:rsidR="002D00CE" w:rsidRDefault="002D00CE" w:rsidP="002D00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 April 2011, cut and basal barked a few living stems.</w:t>
      </w:r>
    </w:p>
    <w:p w:rsidR="002D00CE" w:rsidRPr="001275CF" w:rsidRDefault="002D00CE" w:rsidP="00616AE7">
      <w:pPr>
        <w:pStyle w:val="ListParagraph"/>
        <w:spacing w:after="120"/>
        <w:rPr>
          <w:sz w:val="24"/>
          <w:szCs w:val="24"/>
        </w:rPr>
      </w:pPr>
      <w:r>
        <w:rPr>
          <w:sz w:val="24"/>
          <w:szCs w:val="24"/>
        </w:rPr>
        <w:t>In July 2011, cut and basal barked 3 resprouts (none found since.)</w:t>
      </w:r>
    </w:p>
    <w:p w:rsidR="002D00CE" w:rsidRPr="001275CF" w:rsidRDefault="002D00CE" w:rsidP="001275CF">
      <w:pPr>
        <w:spacing w:after="0"/>
        <w:rPr>
          <w:b/>
          <w:sz w:val="24"/>
          <w:szCs w:val="24"/>
        </w:rPr>
      </w:pPr>
      <w:r w:rsidRPr="001275CF">
        <w:rPr>
          <w:b/>
          <w:sz w:val="24"/>
          <w:szCs w:val="24"/>
        </w:rPr>
        <w:t xml:space="preserve">New Active Sites </w:t>
      </w:r>
    </w:p>
    <w:p w:rsidR="002D00CE" w:rsidRPr="000A5751" w:rsidRDefault="002D00CE" w:rsidP="002D00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5751">
        <w:rPr>
          <w:sz w:val="24"/>
          <w:szCs w:val="24"/>
        </w:rPr>
        <w:t xml:space="preserve">In August 2011, cut and basal barked 6 plants growing in the </w:t>
      </w:r>
      <w:proofErr w:type="spellStart"/>
      <w:r w:rsidRPr="000A5751">
        <w:rPr>
          <w:sz w:val="24"/>
          <w:szCs w:val="24"/>
        </w:rPr>
        <w:t>sPAP</w:t>
      </w:r>
      <w:proofErr w:type="spellEnd"/>
      <w:r w:rsidRPr="000A5751">
        <w:rPr>
          <w:sz w:val="24"/>
          <w:szCs w:val="24"/>
        </w:rPr>
        <w:t xml:space="preserve"> directly across from the site located in E7.  (Probably need to check this site for regrowth.)</w:t>
      </w:r>
    </w:p>
    <w:p w:rsidR="000A5751" w:rsidRPr="001D1DB0" w:rsidRDefault="000A5751" w:rsidP="000A5751">
      <w:pPr>
        <w:spacing w:after="1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Current herbicidal control used</w:t>
      </w:r>
      <w:r w:rsidRPr="001D1DB0">
        <w:rPr>
          <w:b/>
          <w:sz w:val="28"/>
          <w:szCs w:val="24"/>
        </w:rPr>
        <w:t xml:space="preserve"> in NATL</w:t>
      </w:r>
    </w:p>
    <w:p w:rsidR="000A5751" w:rsidRDefault="000A5751" w:rsidP="000A5751">
      <w:r>
        <w:t xml:space="preserve">Apply 25% Element 4 (triclopyr) in oil to stems or fresh stumps with a wash bottle.   Details of formulation are at </w:t>
      </w:r>
      <w:hyperlink r:id="rId7" w:history="1">
        <w:r w:rsidRPr="004060F5">
          <w:rPr>
            <w:rStyle w:val="Hyperlink"/>
          </w:rPr>
          <w:t>Treatment Mixes</w:t>
        </w:r>
      </w:hyperlink>
      <w:r>
        <w:t>.</w:t>
      </w:r>
    </w:p>
    <w:p w:rsidR="000A5751" w:rsidRPr="002D00CE" w:rsidRDefault="000A5751" w:rsidP="002D00CE">
      <w:pPr>
        <w:pStyle w:val="ListParagraph"/>
        <w:rPr>
          <w:sz w:val="24"/>
          <w:szCs w:val="24"/>
        </w:rPr>
      </w:pPr>
    </w:p>
    <w:sectPr w:rsidR="000A5751" w:rsidRPr="002D00CE" w:rsidSect="001275C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94F78"/>
    <w:multiLevelType w:val="hybridMultilevel"/>
    <w:tmpl w:val="E3DC2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C2105"/>
    <w:multiLevelType w:val="hybridMultilevel"/>
    <w:tmpl w:val="A852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32DA"/>
    <w:rsid w:val="000575B8"/>
    <w:rsid w:val="000A5751"/>
    <w:rsid w:val="001275CF"/>
    <w:rsid w:val="00213FC5"/>
    <w:rsid w:val="00242962"/>
    <w:rsid w:val="002B0702"/>
    <w:rsid w:val="002D00CE"/>
    <w:rsid w:val="003A46D8"/>
    <w:rsid w:val="003F32DA"/>
    <w:rsid w:val="004128A6"/>
    <w:rsid w:val="004D598D"/>
    <w:rsid w:val="005C5037"/>
    <w:rsid w:val="00616AE7"/>
    <w:rsid w:val="00757E8F"/>
    <w:rsid w:val="007767EE"/>
    <w:rsid w:val="00913072"/>
    <w:rsid w:val="00A60270"/>
    <w:rsid w:val="00AA37BA"/>
    <w:rsid w:val="00B56E5F"/>
    <w:rsid w:val="00B66CD8"/>
    <w:rsid w:val="00C82037"/>
    <w:rsid w:val="00D2151D"/>
    <w:rsid w:val="00E9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7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67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tl.ifas.ufl.edu/NATLmix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eppc.org/list/11list.html" TargetMode="External"/><Relationship Id="rId5" Type="http://schemas.openxmlformats.org/officeDocument/2006/relationships/hyperlink" Target="http://natl.ifas.ufl.edu/WardList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Walker's Lab</dc:creator>
  <cp:keywords/>
  <dc:description/>
  <cp:lastModifiedBy>Walker's Lab</cp:lastModifiedBy>
  <cp:revision>12</cp:revision>
  <cp:lastPrinted>2012-05-31T02:25:00Z</cp:lastPrinted>
  <dcterms:created xsi:type="dcterms:W3CDTF">2012-04-09T14:06:00Z</dcterms:created>
  <dcterms:modified xsi:type="dcterms:W3CDTF">2012-05-31T20:17:00Z</dcterms:modified>
</cp:coreProperties>
</file>